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191"/>
        <w:gridCol w:w="2386"/>
        <w:gridCol w:w="606"/>
        <w:gridCol w:w="1779"/>
        <w:gridCol w:w="2634"/>
        <w:gridCol w:w="308"/>
        <w:gridCol w:w="1792"/>
        <w:gridCol w:w="223"/>
        <w:gridCol w:w="150"/>
        <w:gridCol w:w="160"/>
        <w:gridCol w:w="46"/>
        <w:gridCol w:w="154"/>
        <w:gridCol w:w="36"/>
      </w:tblGrid>
      <w:tr>
        <w:trPr>
          <w:trHeight w:val="313" w:hRule="atLeast"/>
        </w:trPr>
        <w:tc>
          <w:tcPr>
            <w:tcW w:w="191"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9505" w:type="dxa"/>
            <w:gridSpan w:val="6"/>
            <w:tcBorders/>
            <w:shd w:color="auto" w:fill="auto" w:val="clear"/>
            <w:vAlign w:val="center"/>
          </w:tcPr>
          <w:p>
            <w:pPr>
              <w:pStyle w:val="Normal"/>
              <w:widowControl w:val="false"/>
              <w:spacing w:lineRule="auto" w:line="240" w:before="120" w:after="0"/>
              <w:jc w:val="center"/>
              <w:rPr>
                <w:rFonts w:ascii="Times New Roman" w:hAnsi="Times New Roman" w:eastAsia="Times New Roman" w:cs="Times New Roman"/>
                <w:i/>
                <w:i/>
                <w:iCs/>
                <w:sz w:val="24"/>
                <w:szCs w:val="24"/>
                <w:lang w:eastAsia="it-IT"/>
              </w:rPr>
            </w:pPr>
            <w:r>
              <w:rPr>
                <w:rFonts w:eastAsia="Times New Roman" w:cs="Times New Roman" w:ascii="Times New Roman" w:hAnsi="Times New Roman"/>
                <w:i/>
                <w:iCs/>
                <w:sz w:val="24"/>
                <w:szCs w:val="24"/>
                <w:lang w:eastAsia="it-IT"/>
              </w:rPr>
              <w:t>Piano Nazionale di Ripresa e Resilienza</w:t>
            </w:r>
          </w:p>
          <w:p>
            <w:pPr>
              <w:pStyle w:val="Normal"/>
              <w:widowControl w:val="false"/>
              <w:spacing w:lineRule="auto" w:line="240" w:before="0" w:after="0"/>
              <w:jc w:val="center"/>
              <w:rPr>
                <w:rFonts w:ascii="Times New Roman" w:hAnsi="Times New Roman" w:eastAsia="Times New Roman" w:cs="Times New Roman"/>
                <w:b/>
                <w:b/>
                <w:bCs/>
                <w:i/>
                <w:i/>
                <w:iCs/>
                <w:sz w:val="24"/>
                <w:szCs w:val="24"/>
                <w:lang w:eastAsia="it-IT"/>
              </w:rPr>
            </w:pPr>
            <w:r>
              <w:rPr>
                <w:rFonts w:eastAsia="Times New Roman" w:cs="Times New Roman" w:ascii="Times New Roman" w:hAnsi="Times New Roman"/>
                <w:b/>
                <w:bCs/>
                <w:i/>
                <w:iCs/>
                <w:sz w:val="24"/>
                <w:szCs w:val="24"/>
                <w:lang w:eastAsia="it-IT"/>
              </w:rPr>
              <w:t>Misure per la riduzione del rischio di alluvione e per la riduzione del rischio idrogeologico</w:t>
            </w:r>
          </w:p>
          <w:p>
            <w:pPr>
              <w:pStyle w:val="Normal"/>
              <w:widowControl w:val="false"/>
              <w:spacing w:lineRule="auto" w:line="240" w:before="0" w:after="120"/>
              <w:jc w:val="center"/>
              <w:rPr>
                <w:rFonts w:ascii="Garamond" w:hAnsi="Garamond" w:eastAsia="Times New Roman" w:cs="Calibri" w:cstheme="minorHAnsi"/>
                <w:color w:val="FFFFFF"/>
                <w:lang w:eastAsia="it-IT"/>
              </w:rPr>
            </w:pPr>
            <w:r>
              <w:rPr>
                <w:rFonts w:eastAsia="Times New Roman" w:cs="Times New Roman" w:ascii="Times New Roman" w:hAnsi="Times New Roman"/>
                <w:i/>
                <w:iCs/>
                <w:sz w:val="24"/>
                <w:szCs w:val="24"/>
                <w:lang w:eastAsia="it-IT"/>
              </w:rPr>
              <w:t>M2C4 Investimento 2.1b</w:t>
            </w:r>
          </w:p>
        </w:tc>
        <w:tc>
          <w:tcPr>
            <w:tcW w:w="533" w:type="dxa"/>
            <w:gridSpan w:val="3"/>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36" w:type="dxa"/>
            <w:tcBorders/>
          </w:tcPr>
          <w:p>
            <w:pPr>
              <w:pStyle w:val="Normal"/>
              <w:widowControl w:val="false"/>
              <w:spacing w:before="0" w:after="160"/>
              <w:rPr/>
            </w:pPr>
            <w:r>
              <w:rPr/>
            </w:r>
          </w:p>
        </w:tc>
      </w:tr>
      <w:tr>
        <w:trPr>
          <w:trHeight w:val="313" w:hRule="atLeast"/>
        </w:trPr>
        <w:tc>
          <w:tcPr>
            <w:tcW w:w="191"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9505" w:type="dxa"/>
            <w:gridSpan w:val="6"/>
            <w:vMerge w:val="restart"/>
            <w:tcBorders/>
            <w:shd w:color="000000" w:fill="1F497D" w:val="clear"/>
            <w:vAlign w:val="center"/>
          </w:tcPr>
          <w:p>
            <w:pPr>
              <w:pStyle w:val="Normal"/>
              <w:widowControl w:val="false"/>
              <w:spacing w:lineRule="auto" w:line="240" w:before="0" w:after="0"/>
              <w:jc w:val="center"/>
              <w:rPr>
                <w:rFonts w:eastAsia="Times New Roman" w:cs="Calibri" w:cstheme="minorHAnsi"/>
                <w:b/>
                <w:b/>
                <w:bCs/>
                <w:color w:val="FFFFFF"/>
                <w:lang w:eastAsia="it-IT"/>
              </w:rPr>
            </w:pPr>
            <w:r>
              <w:rPr>
                <w:rFonts w:eastAsia="Times New Roman" w:cs="Calibri" w:cstheme="minorHAnsi"/>
                <w:b/>
                <w:bCs/>
                <w:color w:val="FFFFFF"/>
                <w:lang w:eastAsia="it-IT"/>
              </w:rPr>
              <w:t>CHECKLIST PER LA</w:t>
            </w:r>
          </w:p>
          <w:p>
            <w:pPr>
              <w:pStyle w:val="Normal"/>
              <w:widowControl w:val="false"/>
              <w:spacing w:lineRule="auto" w:line="240" w:before="0" w:after="0"/>
              <w:jc w:val="center"/>
              <w:rPr>
                <w:rFonts w:eastAsia="Times New Roman" w:cs="Calibri" w:cstheme="minorHAnsi"/>
                <w:b/>
                <w:b/>
                <w:bCs/>
                <w:color w:val="FFFFFF"/>
                <w:lang w:eastAsia="it-IT"/>
              </w:rPr>
            </w:pPr>
            <w:r>
              <w:rPr>
                <w:rFonts w:eastAsia="Times New Roman" w:cs="Calibri" w:cstheme="minorHAnsi"/>
                <w:b/>
                <w:bCs/>
                <w:color w:val="FFFFFF"/>
                <w:lang w:eastAsia="it-IT"/>
              </w:rPr>
              <w:t xml:space="preserve"> </w:t>
            </w:r>
            <w:r>
              <w:rPr>
                <w:rFonts w:eastAsia="Times New Roman" w:cs="Calibri" w:cstheme="minorHAnsi"/>
                <w:b/>
                <w:bCs/>
                <w:color w:val="FFFFFF"/>
                <w:lang w:eastAsia="it-IT"/>
              </w:rPr>
              <w:t>VERIFICA DELLE REGOLARITA’ AMMINISTRATIVO-CONTABILE DELLE</w:t>
            </w:r>
          </w:p>
          <w:p>
            <w:pPr>
              <w:pStyle w:val="Normal"/>
              <w:widowControl w:val="false"/>
              <w:spacing w:lineRule="auto" w:line="240" w:before="0" w:after="0"/>
              <w:jc w:val="center"/>
              <w:rPr>
                <w:rFonts w:ascii="Garamond" w:hAnsi="Garamond" w:eastAsia="Times New Roman" w:cs="Calibri" w:cstheme="minorHAnsi"/>
                <w:b/>
                <w:b/>
                <w:bCs/>
                <w:color w:val="FFFFFF"/>
                <w:lang w:eastAsia="it-IT"/>
              </w:rPr>
            </w:pPr>
            <w:r>
              <w:rPr>
                <w:rFonts w:eastAsia="Times New Roman" w:cs="Calibri" w:cstheme="minorHAnsi"/>
                <w:b/>
                <w:bCs/>
                <w:color w:val="FFFFFF"/>
                <w:lang w:eastAsia="it-IT"/>
              </w:rPr>
              <w:t>PROCEDURE DI APPALTO AI SENSI DEL D. lgs. n. 50/2016</w:t>
            </w:r>
          </w:p>
        </w:tc>
        <w:tc>
          <w:tcPr>
            <w:tcW w:w="533" w:type="dxa"/>
            <w:gridSpan w:val="3"/>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36" w:type="dxa"/>
            <w:tcBorders/>
          </w:tcPr>
          <w:p>
            <w:pPr>
              <w:pStyle w:val="Normal"/>
              <w:widowControl w:val="false"/>
              <w:spacing w:before="0" w:after="160"/>
              <w:rPr/>
            </w:pPr>
            <w:r>
              <w:rPr/>
            </w:r>
          </w:p>
        </w:tc>
      </w:tr>
      <w:tr>
        <w:trPr>
          <w:trHeight w:val="284" w:hRule="atLeast"/>
        </w:trPr>
        <w:tc>
          <w:tcPr>
            <w:tcW w:w="191"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9505" w:type="dxa"/>
            <w:gridSpan w:val="6"/>
            <w:vMerge w:val="continue"/>
            <w:tcBorders/>
            <w:vAlign w:val="center"/>
          </w:tcPr>
          <w:p>
            <w:pPr>
              <w:pStyle w:val="Normal"/>
              <w:widowControl w:val="false"/>
              <w:spacing w:lineRule="auto" w:line="240" w:before="0" w:after="0"/>
              <w:rPr>
                <w:rFonts w:ascii="Garamond" w:hAnsi="Garamond" w:eastAsia="Times New Roman" w:cs="Calibri" w:cstheme="minorHAnsi"/>
                <w:color w:val="FFFFFF"/>
                <w:lang w:eastAsia="it-IT"/>
              </w:rPr>
            </w:pPr>
            <w:r>
              <w:rPr>
                <w:rFonts w:eastAsia="Times New Roman" w:cs="Calibri" w:cstheme="minorHAnsi" w:ascii="Garamond" w:hAnsi="Garamond"/>
                <w:color w:val="FFFFFF"/>
                <w:lang w:eastAsia="it-IT"/>
              </w:rPr>
            </w:r>
          </w:p>
        </w:tc>
        <w:tc>
          <w:tcPr>
            <w:tcW w:w="533" w:type="dxa"/>
            <w:gridSpan w:val="3"/>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36" w:type="dxa"/>
            <w:tcBorders/>
          </w:tcPr>
          <w:p>
            <w:pPr>
              <w:pStyle w:val="Normal"/>
              <w:widowControl w:val="false"/>
              <w:spacing w:before="0" w:after="160"/>
              <w:rPr/>
            </w:pPr>
            <w:r>
              <w:rPr/>
            </w:r>
          </w:p>
        </w:tc>
      </w:tr>
      <w:tr>
        <w:trPr>
          <w:trHeight w:val="256" w:hRule="atLeast"/>
        </w:trPr>
        <w:tc>
          <w:tcPr>
            <w:tcW w:w="191" w:type="dxa"/>
            <w:tcBorders/>
            <w:shd w:color="000000" w:fill="FFFFFF" w:val="clear"/>
            <w:vAlign w:val="center"/>
          </w:tcPr>
          <w:p>
            <w:pPr>
              <w:pStyle w:val="Normal"/>
              <w:widowControl w:val="false"/>
              <w:spacing w:lineRule="auto" w:line="240" w:before="0" w:after="0"/>
              <w:rPr>
                <w:rFonts w:ascii="Garamond" w:hAnsi="Garamond" w:eastAsia="Times New Roman" w:cs="Calibri" w:cstheme="minorHAnsi"/>
                <w:b/>
                <w:b/>
                <w:bCs/>
                <w:color w:val="000000"/>
                <w:lang w:eastAsia="it-IT"/>
              </w:rPr>
            </w:pPr>
            <w:r>
              <w:rPr>
                <w:rFonts w:eastAsia="Times New Roman" w:cs="Calibri" w:cstheme="minorHAnsi" w:ascii="Garamond" w:hAnsi="Garamond"/>
                <w:b/>
                <w:bCs/>
                <w:color w:val="000000"/>
                <w:lang w:eastAsia="it-IT"/>
              </w:rPr>
            </w:r>
          </w:p>
        </w:tc>
        <w:tc>
          <w:tcPr>
            <w:tcW w:w="9505" w:type="dxa"/>
            <w:gridSpan w:val="6"/>
            <w:vMerge w:val="continue"/>
            <w:tcBorders/>
            <w:vAlign w:val="center"/>
          </w:tcPr>
          <w:p>
            <w:pPr>
              <w:pStyle w:val="Normal"/>
              <w:widowControl w:val="false"/>
              <w:spacing w:lineRule="auto" w:line="240" w:before="0" w:after="0"/>
              <w:rPr>
                <w:rFonts w:ascii="Garamond" w:hAnsi="Garamond" w:eastAsia="Times New Roman" w:cs="Calibri" w:cstheme="minorHAnsi"/>
                <w:color w:val="FFFFFF"/>
                <w:lang w:eastAsia="it-IT"/>
              </w:rPr>
            </w:pPr>
            <w:r>
              <w:rPr>
                <w:rFonts w:eastAsia="Times New Roman" w:cs="Calibri" w:cstheme="minorHAnsi" w:ascii="Garamond" w:hAnsi="Garamond"/>
                <w:color w:val="FFFFFF"/>
                <w:lang w:eastAsia="it-IT"/>
              </w:rPr>
            </w:r>
          </w:p>
        </w:tc>
        <w:tc>
          <w:tcPr>
            <w:tcW w:w="533" w:type="dxa"/>
            <w:gridSpan w:val="3"/>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36" w:type="dxa"/>
            <w:tcBorders/>
          </w:tcPr>
          <w:p>
            <w:pPr>
              <w:pStyle w:val="Normal"/>
              <w:widowControl w:val="false"/>
              <w:spacing w:before="0" w:after="160"/>
              <w:rPr/>
            </w:pPr>
            <w:r>
              <w:rPr/>
            </w:r>
          </w:p>
        </w:tc>
      </w:tr>
      <w:tr>
        <w:trPr>
          <w:trHeight w:val="273" w:hRule="atLeast"/>
        </w:trPr>
        <w:tc>
          <w:tcPr>
            <w:tcW w:w="191"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9505" w:type="dxa"/>
            <w:gridSpan w:val="6"/>
            <w:vMerge w:val="continue"/>
            <w:tcBorders/>
            <w:vAlign w:val="center"/>
          </w:tcPr>
          <w:p>
            <w:pPr>
              <w:pStyle w:val="Normal"/>
              <w:widowControl w:val="false"/>
              <w:spacing w:lineRule="auto" w:line="240" w:before="0" w:after="0"/>
              <w:rPr>
                <w:rFonts w:ascii="Garamond" w:hAnsi="Garamond" w:eastAsia="Times New Roman" w:cs="Calibri" w:cstheme="minorHAnsi"/>
                <w:color w:val="FFFFFF"/>
                <w:lang w:eastAsia="it-IT"/>
              </w:rPr>
            </w:pPr>
            <w:r>
              <w:rPr>
                <w:rFonts w:eastAsia="Times New Roman" w:cs="Calibri" w:cstheme="minorHAnsi" w:ascii="Garamond" w:hAnsi="Garamond"/>
                <w:color w:val="FFFFFF"/>
                <w:lang w:eastAsia="it-IT"/>
              </w:rPr>
            </w:r>
          </w:p>
        </w:tc>
        <w:tc>
          <w:tcPr>
            <w:tcW w:w="533" w:type="dxa"/>
            <w:gridSpan w:val="3"/>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36" w:type="dxa"/>
            <w:tcBorders/>
          </w:tcPr>
          <w:p>
            <w:pPr>
              <w:pStyle w:val="Normal"/>
              <w:widowControl w:val="false"/>
              <w:spacing w:before="0" w:after="160"/>
              <w:rPr/>
            </w:pPr>
            <w:r>
              <w:rPr/>
            </w:r>
          </w:p>
        </w:tc>
      </w:tr>
      <w:tr>
        <w:trPr>
          <w:trHeight w:val="95" w:hRule="atLeast"/>
        </w:trPr>
        <w:tc>
          <w:tcPr>
            <w:tcW w:w="191"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9505" w:type="dxa"/>
            <w:gridSpan w:val="6"/>
            <w:vMerge w:val="continue"/>
            <w:tcBorders/>
            <w:vAlign w:val="center"/>
          </w:tcPr>
          <w:p>
            <w:pPr>
              <w:pStyle w:val="Normal"/>
              <w:widowControl w:val="false"/>
              <w:spacing w:lineRule="auto" w:line="240" w:before="0" w:after="0"/>
              <w:rPr>
                <w:rFonts w:ascii="Garamond" w:hAnsi="Garamond" w:eastAsia="Times New Roman" w:cs="Calibri" w:cstheme="minorHAnsi"/>
                <w:color w:val="FFFFFF"/>
                <w:lang w:eastAsia="it-IT"/>
              </w:rPr>
            </w:pPr>
            <w:r>
              <w:rPr>
                <w:rFonts w:eastAsia="Times New Roman" w:cs="Calibri" w:cstheme="minorHAnsi" w:ascii="Garamond" w:hAnsi="Garamond"/>
                <w:color w:val="FFFFFF"/>
                <w:lang w:eastAsia="it-IT"/>
              </w:rPr>
            </w:r>
          </w:p>
        </w:tc>
        <w:tc>
          <w:tcPr>
            <w:tcW w:w="533" w:type="dxa"/>
            <w:gridSpan w:val="3"/>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36" w:type="dxa"/>
            <w:tcBorders/>
          </w:tcPr>
          <w:p>
            <w:pPr>
              <w:pStyle w:val="Normal"/>
              <w:widowControl w:val="false"/>
              <w:spacing w:before="0" w:after="160"/>
              <w:rPr/>
            </w:pPr>
            <w:r>
              <w:rPr/>
            </w:r>
          </w:p>
        </w:tc>
      </w:tr>
      <w:tr>
        <w:trPr>
          <w:trHeight w:val="273" w:hRule="exact"/>
        </w:trPr>
        <w:tc>
          <w:tcPr>
            <w:tcW w:w="191"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992"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1779"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634"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308"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015"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150" w:type="dxa"/>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206"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c>
          <w:tcPr>
            <w:tcW w:w="190" w:type="dxa"/>
            <w:gridSpan w:val="2"/>
            <w:tcBorders/>
            <w:shd w:color="000000" w:fill="FFFFFF" w:val="clear"/>
            <w:vAlign w:val="bottom"/>
          </w:tcPr>
          <w:p>
            <w:pPr>
              <w:pStyle w:val="Normal"/>
              <w:widowControl w:val="false"/>
              <w:spacing w:lineRule="auto" w:line="240" w:before="0" w:after="0"/>
              <w:rPr>
                <w:rFonts w:ascii="Garamond" w:hAnsi="Garamond" w:eastAsia="Times New Roman" w:cs="Calibri" w:cstheme="minorHAnsi"/>
                <w:color w:val="000000"/>
                <w:lang w:eastAsia="it-IT"/>
              </w:rPr>
            </w:pPr>
            <w:r>
              <w:rPr>
                <w:rFonts w:eastAsia="Times New Roman" w:cs="Calibri" w:cstheme="minorHAnsi" w:ascii="Garamond" w:hAnsi="Garamond"/>
                <w:color w:val="000000"/>
                <w:lang w:eastAsia="it-IT"/>
              </w:rPr>
            </w:r>
          </w:p>
        </w:tc>
      </w:tr>
      <w:tr>
        <w:trPr>
          <w:trHeight w:val="535"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9505" w:type="dxa"/>
            <w:gridSpan w:val="6"/>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center"/>
              <w:rPr>
                <w:rFonts w:eastAsia="Times New Roman" w:cs="Calibri" w:cstheme="minorHAnsi"/>
                <w:b/>
                <w:b/>
                <w:bCs/>
                <w:color w:val="FFFFFF"/>
                <w:lang w:eastAsia="it-IT"/>
              </w:rPr>
            </w:pPr>
            <w:r>
              <w:rPr>
                <w:rFonts w:eastAsia="Times New Roman" w:cs="Calibri" w:cstheme="minorHAnsi"/>
                <w:b/>
                <w:bCs/>
                <w:color w:val="FFFFFF"/>
                <w:lang w:eastAsia="it-IT"/>
              </w:rPr>
              <w:t>Anagrafica Intervento</w:t>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4"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Titolo intervento</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4"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Amministrazione attuatrice</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olor w:val="000000"/>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highlight w:val="yellow"/>
                <w:lang w:eastAsia="it-IT"/>
              </w:rPr>
            </w:pPr>
            <w:r>
              <w:rPr>
                <w:rFonts w:eastAsia="Times New Roman" w:cs="Calibri" w:cstheme="minorHAnsi"/>
                <w:b/>
                <w:bCs/>
                <w:color w:val="FFFFFF"/>
                <w:lang w:eastAsia="it-IT"/>
              </w:rPr>
              <w:t>Soggetto Attuatore</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highlight w:val="yellow"/>
                <w:lang w:eastAsia="it-IT"/>
              </w:rPr>
            </w:pPr>
            <w:r>
              <w:rPr>
                <w:rFonts w:eastAsia="Times New Roman" w:cs="Calibri" w:cstheme="minorHAnsi"/>
                <w:b/>
                <w:bCs/>
                <w:color w:val="FFFFFF"/>
                <w:lang w:eastAsia="it-IT"/>
              </w:rPr>
              <w:t>Soggetto Realizzatore</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color w:val="C9211E"/>
                <w:lang w:eastAsia="it-IT"/>
              </w:rPr>
            </w:pPr>
            <w:r>
              <w:rPr>
                <w:rFonts w:eastAsia="Times New Roman" w:cs="Calibri" w:cstheme="minorHAnsi"/>
                <w:color w:val="C9211E"/>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Procedura di appalto applicata</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t>(Procedura aperta, ristretta, etc.)</w:t>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CIG</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Titolo bando di gara</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Atto di riferimento</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t>(Riferimento del contratto stipulato, data, RDO/ODA)</w:t>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4"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CUP</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r>
          </w:p>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431"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Localizzazione intervento</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color w:val="C9211E"/>
                <w:lang w:eastAsia="it-IT"/>
              </w:rPr>
            </w:pPr>
            <w:r>
              <w:rPr>
                <w:rFonts w:eastAsia="Times New Roman" w:cs="Calibri" w:cstheme="minorHAnsi"/>
                <w:color w:val="C9211E"/>
                <w:lang w:eastAsia="it-IT"/>
              </w:rPr>
            </w:r>
          </w:p>
          <w:p>
            <w:pPr>
              <w:pStyle w:val="Normal"/>
              <w:widowControl w:val="false"/>
              <w:spacing w:lineRule="auto" w:line="240" w:before="0" w:after="0"/>
              <w:rPr>
                <w:rFonts w:eastAsia="Times New Roman" w:cs="Calibri" w:cstheme="minorHAnsi"/>
                <w:highlight w:val="yellow"/>
                <w:lang w:eastAsia="it-IT"/>
              </w:rPr>
            </w:pPr>
            <w:r>
              <w:rPr>
                <w:rFonts w:eastAsia="Times New Roman" w:cs="Calibri" w:cstheme="minorHAnsi"/>
                <w:highlight w:val="yellow"/>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8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4"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Data di avvio e conclusione progetto</w:t>
            </w:r>
          </w:p>
        </w:tc>
        <w:tc>
          <w:tcPr>
            <w:tcW w:w="7119" w:type="dxa"/>
            <w:gridSpan w:val="5"/>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t>Avvio: [</w:t>
            </w:r>
            <w:r>
              <w:rPr>
                <w:rFonts w:eastAsia="Times New Roman" w:cs="Calibri" w:cstheme="minorHAnsi"/>
                <w:color w:val="C9211E"/>
                <w:lang w:eastAsia="it-IT"/>
              </w:rPr>
              <w:t xml:space="preserve">  </w:t>
            </w:r>
            <w:r>
              <w:rPr>
                <w:rFonts w:eastAsia="Times New Roman" w:cs="Calibri" w:cstheme="minorHAnsi"/>
                <w:lang w:eastAsia="it-IT"/>
              </w:rPr>
              <w:t xml:space="preserve"> ]</w:t>
            </w:r>
          </w:p>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t xml:space="preserve">Conclusione: [ </w:t>
            </w:r>
            <w:r>
              <w:rPr>
                <w:rFonts w:eastAsia="Times New Roman" w:cs="Calibri" w:cstheme="minorHAnsi"/>
                <w:color w:val="C9211E"/>
                <w:lang w:eastAsia="it-IT"/>
              </w:rPr>
              <w:t xml:space="preserve"> </w:t>
            </w:r>
            <w:r>
              <w:rPr>
                <w:rFonts w:eastAsia="Times New Roman" w:cs="Calibri" w:cstheme="minorHAnsi"/>
                <w:color w:val="000000"/>
                <w:lang w:eastAsia="it-IT"/>
              </w:rPr>
              <w:t>]</w:t>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4"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Costo totale intervento (€)</w:t>
            </w:r>
          </w:p>
        </w:tc>
        <w:tc>
          <w:tcPr>
            <w:tcW w:w="7119" w:type="dxa"/>
            <w:gridSpan w:val="5"/>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t> </w:t>
            </w:r>
            <w:r>
              <w:rPr>
                <w:rFonts w:eastAsia="Times New Roman" w:cs="Calibri" w:cstheme="minorHAnsi"/>
                <w:lang w:eastAsia="it-IT"/>
              </w:rPr>
              <w:t>[ al netto di IVA]</w:t>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di cui costo ammesso PNRR (€)</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t> </w:t>
            </w:r>
            <w:r>
              <w:rPr>
                <w:rFonts w:eastAsia="Times New Roman" w:cs="Calibri" w:cstheme="minorHAnsi"/>
                <w:lang w:eastAsia="it-IT"/>
              </w:rPr>
              <w:t>[ al netto di IVA]</w:t>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Costo della procedura (importo a base d’asta)</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Costo della procedura (importo contratto)</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lang w:eastAsia="it-IT"/>
              </w:rPr>
            </w:pPr>
            <w:r>
              <w:rPr>
                <w:rFonts w:eastAsia="Times New Roman" w:cs="Calibri" w:cstheme="minorHAnsi"/>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r>
        <w:trPr>
          <w:trHeight w:val="538" w:hRule="atLeast"/>
        </w:trPr>
        <w:tc>
          <w:tcPr>
            <w:tcW w:w="191" w:type="dxa"/>
            <w:tcBorders>
              <w:right w:val="single" w:sz="2" w:space="0" w:color="000000"/>
            </w:tcBorders>
            <w:shd w:color="000000" w:fill="FFFFFF" w:val="clear"/>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386" w:type="dxa"/>
            <w:tcBorders>
              <w:top w:val="single" w:sz="2" w:space="0" w:color="000000"/>
              <w:left w:val="single" w:sz="2" w:space="0" w:color="000000"/>
              <w:bottom w:val="single" w:sz="2" w:space="0" w:color="000000"/>
              <w:right w:val="single" w:sz="2" w:space="0" w:color="000000"/>
            </w:tcBorders>
            <w:shd w:color="000000" w:fill="1F497D" w:val="clear"/>
            <w:vAlign w:val="center"/>
          </w:tcPr>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b/>
                <w:bCs/>
                <w:color w:val="FFFFFF"/>
                <w:lang w:eastAsia="it-IT"/>
              </w:rPr>
              <w:t>Luogo di conservazione della documentazione</w:t>
            </w:r>
          </w:p>
          <w:p>
            <w:pPr>
              <w:pStyle w:val="Normal"/>
              <w:widowControl w:val="false"/>
              <w:spacing w:lineRule="auto" w:line="240" w:before="0" w:after="0"/>
              <w:jc w:val="right"/>
              <w:rPr>
                <w:rFonts w:eastAsia="Times New Roman" w:cs="Calibri" w:cstheme="minorHAnsi"/>
                <w:b/>
                <w:b/>
                <w:bCs/>
                <w:color w:val="FFFFFF"/>
                <w:lang w:eastAsia="it-IT"/>
              </w:rPr>
            </w:pPr>
            <w:r>
              <w:rPr>
                <w:rFonts w:eastAsia="Times New Roman" w:cs="Calibri" w:cstheme="minorHAnsi"/>
                <w:color w:val="FFFFFF"/>
                <w:sz w:val="18"/>
                <w:szCs w:val="18"/>
                <w:lang w:eastAsia="it-IT"/>
              </w:rPr>
              <w:t>(</w:t>
            </w:r>
            <w:r>
              <w:rPr>
                <w:rFonts w:eastAsia="Times New Roman" w:cs="Calibri" w:cstheme="minorHAnsi"/>
                <w:color w:val="FFFFFF" w:themeColor="background1"/>
                <w:sz w:val="18"/>
                <w:szCs w:val="18"/>
                <w:lang w:eastAsia="it-IT"/>
              </w:rPr>
              <w:t>Ente/Ufficio/Stanza o Server/archivio informatico</w:t>
            </w:r>
          </w:p>
        </w:tc>
        <w:tc>
          <w:tcPr>
            <w:tcW w:w="7119"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rFonts w:eastAsia="Times New Roman" w:cs="Calibri" w:cstheme="minorHAnsi"/>
                <w:color w:val="C9211E"/>
                <w:lang w:eastAsia="it-IT"/>
              </w:rPr>
            </w:pPr>
            <w:r>
              <w:rPr>
                <w:rFonts w:eastAsia="Times New Roman" w:cs="Calibri" w:cstheme="minorHAnsi"/>
                <w:color w:val="C9211E"/>
                <w:lang w:eastAsia="it-IT"/>
              </w:rPr>
            </w:r>
          </w:p>
        </w:tc>
        <w:tc>
          <w:tcPr>
            <w:tcW w:w="533" w:type="dxa"/>
            <w:gridSpan w:val="3"/>
            <w:tcBorders>
              <w:left w:val="single" w:sz="2" w:space="0" w:color="000000"/>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200" w:type="dxa"/>
            <w:gridSpan w:val="2"/>
            <w:tcBorders/>
            <w:shd w:color="000000" w:fill="FFFFFF" w:val="clear"/>
            <w:vAlign w:val="bottom"/>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6" w:type="dxa"/>
            <w:tcBorders/>
          </w:tcPr>
          <w:p>
            <w:pPr>
              <w:pStyle w:val="Normal"/>
              <w:widowControl w:val="false"/>
              <w:spacing w:before="0" w:after="160"/>
              <w:rPr/>
            </w:pPr>
            <w:r>
              <w:rPr/>
            </w:r>
          </w:p>
        </w:tc>
      </w:tr>
    </w:tbl>
    <w:p>
      <w:pPr>
        <w:pStyle w:val="Normal"/>
        <w:rPr>
          <w:rFonts w:cs="Calibri" w:cstheme="minorHAnsi"/>
        </w:rPr>
      </w:pPr>
      <w:r>
        <w:rPr>
          <w:rFonts w:cs="Calibri" w:cstheme="minorHAnsi"/>
        </w:rPr>
      </w:r>
    </w:p>
    <w:tbl>
      <w:tblPr>
        <w:tblW w:w="10418"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486"/>
        <w:gridCol w:w="3873"/>
        <w:gridCol w:w="410"/>
        <w:gridCol w:w="408"/>
        <w:gridCol w:w="478"/>
        <w:gridCol w:w="1554"/>
        <w:gridCol w:w="3208"/>
      </w:tblGrid>
      <w:tr>
        <w:trPr>
          <w:tblHeader w:val="true"/>
          <w:trHeight w:val="840" w:hRule="atLeast"/>
        </w:trPr>
        <w:tc>
          <w:tcPr>
            <w:tcW w:w="4359" w:type="dxa"/>
            <w:gridSpan w:val="2"/>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VERIFICA AFFIDAMENTI</w:t>
            </w:r>
          </w:p>
        </w:tc>
        <w:tc>
          <w:tcPr>
            <w:tcW w:w="410"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SI</w:t>
            </w:r>
          </w:p>
        </w:tc>
        <w:tc>
          <w:tcPr>
            <w:tcW w:w="40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NO</w:t>
            </w:r>
          </w:p>
        </w:tc>
        <w:tc>
          <w:tcPr>
            <w:tcW w:w="47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N.A.</w:t>
            </w:r>
          </w:p>
        </w:tc>
        <w:tc>
          <w:tcPr>
            <w:tcW w:w="1554"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Elenco dei documenti verificati/ Note</w:t>
            </w:r>
          </w:p>
        </w:tc>
        <w:tc>
          <w:tcPr>
            <w:tcW w:w="3208" w:type="dxa"/>
            <w:tcBorders>
              <w:top w:val="single" w:sz="4" w:space="0" w:color="000000"/>
              <w:left w:val="single" w:sz="4" w:space="0" w:color="000000"/>
              <w:bottom w:val="single" w:sz="4" w:space="0" w:color="000000"/>
              <w:right w:val="single" w:sz="4" w:space="0" w:color="000000"/>
            </w:tcBorders>
            <w:shd w:color="auto" w:fill="CCCCFF" w:val="clear"/>
            <w:vAlign w:val="center"/>
          </w:tcPr>
          <w:p>
            <w:pPr>
              <w:pStyle w:val="Normal"/>
              <w:widowControl w:val="false"/>
              <w:spacing w:lineRule="auto" w:line="240" w:before="0" w:after="0"/>
              <w:jc w:val="center"/>
              <w:rPr>
                <w:rFonts w:eastAsia="Times New Roman" w:cs="Calibri" w:cstheme="minorHAnsi"/>
                <w:b/>
                <w:b/>
                <w:bCs/>
                <w:sz w:val="18"/>
                <w:szCs w:val="18"/>
                <w:lang w:eastAsia="it-IT"/>
              </w:rPr>
            </w:pPr>
            <w:r>
              <w:rPr>
                <w:rFonts w:eastAsia="Times New Roman" w:cs="Calibri" w:cstheme="minorHAnsi"/>
                <w:b/>
                <w:bCs/>
                <w:sz w:val="18"/>
                <w:szCs w:val="18"/>
                <w:lang w:eastAsia="it-IT"/>
              </w:rPr>
              <w:t>Oggetto del controllo</w:t>
            </w:r>
            <w:r>
              <w:rPr>
                <w:rStyle w:val="Richiamoallanotaapidipagina"/>
                <w:rFonts w:eastAsia="Times New Roman" w:cs="Calibri" w:cstheme="minorHAnsi"/>
                <w:b/>
                <w:bCs/>
                <w:sz w:val="18"/>
                <w:szCs w:val="18"/>
                <w:lang w:eastAsia="it-IT"/>
              </w:rPr>
              <w:footnoteReference w:id="2"/>
            </w:r>
          </w:p>
        </w:tc>
      </w:tr>
      <w:tr>
        <w:trPr>
          <w:trHeight w:val="322" w:hRule="atLeast"/>
        </w:trPr>
        <w:tc>
          <w:tcPr>
            <w:tcW w:w="486"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jc w:val="center"/>
              <w:rPr>
                <w:rFonts w:eastAsia="Times New Roman" w:cs="Calibri" w:cstheme="minorHAnsi"/>
                <w:b/>
                <w:b/>
                <w:bCs/>
                <w:color w:val="000000"/>
                <w:sz w:val="20"/>
                <w:szCs w:val="20"/>
                <w:lang w:eastAsia="it-IT"/>
              </w:rPr>
            </w:pPr>
            <w:r>
              <w:rPr>
                <w:rFonts w:eastAsia="Times New Roman" w:cs="Calibri" w:cstheme="minorHAnsi"/>
                <w:b/>
                <w:bCs/>
                <w:color w:val="000000"/>
                <w:sz w:val="20"/>
                <w:szCs w:val="20"/>
                <w:lang w:eastAsia="it-IT"/>
              </w:rPr>
              <w:t>A</w:t>
            </w:r>
          </w:p>
        </w:tc>
        <w:tc>
          <w:tcPr>
            <w:tcW w:w="9931" w:type="dxa"/>
            <w:gridSpan w:val="6"/>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rPr>
                <w:rFonts w:eastAsia="Times New Roman" w:cs="Calibri" w:cstheme="minorHAnsi"/>
                <w:color w:val="000000"/>
                <w:sz w:val="20"/>
                <w:szCs w:val="20"/>
                <w:lang w:eastAsia="it-IT"/>
              </w:rPr>
            </w:pPr>
            <w:r>
              <w:rPr>
                <w:rFonts w:eastAsia="Times New Roman" w:cs="Calibri" w:cstheme="minorHAnsi"/>
                <w:b/>
                <w:bCs/>
                <w:sz w:val="20"/>
                <w:szCs w:val="20"/>
                <w:lang w:eastAsia="it-IT"/>
              </w:rPr>
              <w:t>Parte generale</w:t>
            </w:r>
          </w:p>
        </w:tc>
      </w:tr>
      <w:tr>
        <w:trPr>
          <w:trHeight w:val="981"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highlight w:val="green"/>
                <w:lang w:eastAsia="it-IT"/>
              </w:rPr>
            </w:pPr>
            <w:r>
              <w:rPr>
                <w:rFonts w:eastAsia="Times New Roman" w:cs="Calibri" w:cstheme="minorHAnsi"/>
                <w:color w:val="000000"/>
                <w:lang w:eastAsia="it-IT"/>
              </w:rPr>
              <w:t>1</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E’ stata verificata la veridicità e correttezza delle Dichiarazioni sostitutive di atto notorio (DSAN) in merito all’assenza del conflitto di interessi e situazioni di incompatibilità?</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(Bando, avviso, capitolato, altro);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DSAN</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tc>
      </w:tr>
      <w:tr>
        <w:trPr>
          <w:trHeight w:val="930"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2</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E’ stata fornita documentazione utile all’individuazione del titolare effettivo del soggetto realizzatore?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C9211E"/>
                <w:sz w:val="20"/>
                <w:szCs w:val="20"/>
                <w:lang w:eastAsia="it-IT"/>
              </w:rPr>
            </w:pPr>
            <w:r>
              <w:rPr>
                <w:rFonts w:eastAsia="Times New Roman" w:cs="Calibri" w:cstheme="minorHAnsi"/>
                <w:color w:val="C9211E"/>
                <w:sz w:val="20"/>
                <w:szCs w:val="2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DSAN</w:t>
            </w:r>
          </w:p>
          <w:p>
            <w:pPr>
              <w:pStyle w:val="Normal"/>
              <w:widowControl w:val="false"/>
              <w:spacing w:lineRule="auto" w:line="240" w:before="0" w:after="0"/>
              <w:jc w:val="both"/>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w:t>
            </w: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Visura camerale</w:t>
            </w:r>
          </w:p>
          <w:p>
            <w:pPr>
              <w:pStyle w:val="Normal"/>
              <w:widowControl w:val="false"/>
              <w:spacing w:lineRule="auto" w:line="240" w:before="0" w:after="0"/>
              <w:jc w:val="both"/>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Format per la comunicazione dei dati necessari per l’identificazione del titolare effettivo</w:t>
            </w:r>
          </w:p>
        </w:tc>
      </w:tr>
      <w:tr>
        <w:trPr>
          <w:trHeight w:val="945"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3</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E’ stato verificato il contributo del progetto al conseguimento del target associato alla misura e il contributo alla valorizzazione dell’indicatore comune?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Atti di gara (Bando, avviso, capitolato, altro);</w:t>
            </w:r>
          </w:p>
          <w:p>
            <w:pPr>
              <w:pStyle w:val="Normal"/>
              <w:widowControl w:val="false"/>
              <w:spacing w:lineRule="auto" w:line="240" w:before="0" w:after="0"/>
              <w:jc w:val="both"/>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Atto di riconducibilità per i progetti in essere;</w:t>
            </w:r>
          </w:p>
          <w:p>
            <w:pPr>
              <w:pStyle w:val="Normal"/>
              <w:widowControl w:val="false"/>
              <w:spacing w:lineRule="auto" w:line="240" w:before="0" w:after="0"/>
              <w:jc w:val="both"/>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Contratto</w:t>
            </w:r>
          </w:p>
          <w:p>
            <w:pPr>
              <w:pStyle w:val="Normal"/>
              <w:widowControl w:val="false"/>
              <w:spacing w:lineRule="auto" w:line="240" w:before="0" w:after="0"/>
              <w:rPr>
                <w:rFonts w:eastAsia="Times New Roman" w:cs="Calibri" w:cstheme="minorHAnsi"/>
                <w:strike/>
                <w:color w:val="000000"/>
                <w:sz w:val="16"/>
                <w:szCs w:val="16"/>
                <w:lang w:eastAsia="it-IT"/>
              </w:rPr>
            </w:pPr>
            <w:r>
              <w:rPr>
                <w:rFonts w:eastAsia="Times New Roman" w:cs="Calibri" w:cstheme="minorHAnsi"/>
                <w:strike/>
                <w:color w:val="000000"/>
                <w:sz w:val="16"/>
                <w:szCs w:val="16"/>
                <w:lang w:eastAsia="it-IT"/>
              </w:rPr>
            </w:r>
          </w:p>
        </w:tc>
      </w:tr>
      <w:tr>
        <w:trPr>
          <w:trHeight w:val="1034"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4</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highlight w:val="yellow"/>
                <w:lang w:eastAsia="it-IT"/>
              </w:rPr>
            </w:pPr>
            <w:r>
              <w:rPr>
                <w:rFonts w:eastAsia="Times New Roman" w:cs="Calibri" w:cstheme="minorHAnsi"/>
                <w:color w:val="000000"/>
                <w:sz w:val="18"/>
                <w:szCs w:val="18"/>
                <w:lang w:eastAsia="it-IT"/>
              </w:rPr>
              <w:t>La procedura di affidamento oggetto di controllo, nell’ambito degli ulteriori requisiti PNRR contribuisce al principio del tagging del clima o del tagging digitale?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w:t>
            </w:r>
            <w:r>
              <w:rPr>
                <w:rFonts w:eastAsia="Times New Roman" w:cs="Calibri" w:cstheme="minorHAnsi"/>
                <w:strike w:val="false"/>
                <w:dstrike w:val="false"/>
                <w:color w:val="000000"/>
                <w:sz w:val="16"/>
                <w:szCs w:val="16"/>
                <w:lang w:eastAsia="it-IT"/>
              </w:rPr>
              <w:t>Atti di gara (Bando, avviso, capitolato, altro);</w:t>
            </w:r>
          </w:p>
          <w:p>
            <w:pPr>
              <w:pStyle w:val="Normal"/>
              <w:widowControl w:val="false"/>
              <w:spacing w:lineRule="auto" w:line="240" w:before="0" w:after="0"/>
              <w:jc w:val="both"/>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Atto di riconducibilità per i progetti in essere •Contratto</w:t>
            </w:r>
          </w:p>
          <w:p>
            <w:pPr>
              <w:pStyle w:val="Normal"/>
              <w:widowControl w:val="false"/>
              <w:spacing w:lineRule="auto" w:line="240" w:before="0" w:after="0"/>
              <w:jc w:val="both"/>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p>
            <w:pPr>
              <w:pStyle w:val="Normal"/>
              <w:widowControl w:val="false"/>
              <w:spacing w:lineRule="auto" w:line="240" w:before="0" w:after="0"/>
              <w:rPr>
                <w:rFonts w:eastAsia="Times New Roman" w:cs="Calibri" w:cstheme="minorHAnsi"/>
                <w:color w:val="000000"/>
                <w:sz w:val="16"/>
                <w:szCs w:val="16"/>
                <w:highlight w:val="yellow"/>
                <w:lang w:eastAsia="it-IT"/>
              </w:rPr>
            </w:pPr>
            <w:r>
              <w:rPr>
                <w:rFonts w:eastAsia="Times New Roman" w:cs="Calibri" w:cstheme="minorHAnsi"/>
                <w:color w:val="000000"/>
                <w:sz w:val="16"/>
                <w:szCs w:val="16"/>
                <w:highlight w:val="yellow"/>
                <w:lang w:eastAsia="it-IT"/>
              </w:rPr>
            </w:r>
          </w:p>
        </w:tc>
      </w:tr>
      <w:tr>
        <w:trPr>
          <w:trHeight w:val="1739"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5</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L’oggetto della procedura di affidamento rispetta, ove applicabili, i seguenti principi trasversali previsti dal Regolamento (UE) 241/2021:</w:t>
            </w:r>
          </w:p>
          <w:p>
            <w:pPr>
              <w:pStyle w:val="ListParagraph"/>
              <w:widowControl w:val="false"/>
              <w:numPr>
                <w:ilvl w:val="0"/>
                <w:numId w:val="6"/>
              </w:numPr>
              <w:spacing w:lineRule="auto" w:line="240" w:before="0" w:after="0"/>
              <w:contextualSpacing/>
              <w:jc w:val="both"/>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Il principio  della parità di genere (Gender Equality);</w:t>
            </w:r>
          </w:p>
          <w:p>
            <w:pPr>
              <w:pStyle w:val="ListParagraph"/>
              <w:widowControl w:val="false"/>
              <w:numPr>
                <w:ilvl w:val="0"/>
                <w:numId w:val="7"/>
              </w:numPr>
              <w:spacing w:lineRule="auto" w:line="240" w:before="0" w:after="0"/>
              <w:contextualSpacing/>
              <w:jc w:val="both"/>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Il principio di protezione e valorizzazione dei giovani;</w:t>
            </w:r>
          </w:p>
          <w:p>
            <w:pPr>
              <w:pStyle w:val="ListParagraph"/>
              <w:widowControl w:val="false"/>
              <w:numPr>
                <w:ilvl w:val="0"/>
                <w:numId w:val="8"/>
              </w:numPr>
              <w:spacing w:lineRule="auto" w:line="240" w:before="0" w:after="0"/>
              <w:contextualSpacing/>
              <w:jc w:val="both"/>
              <w:rPr>
                <w:rFonts w:eastAsia="Times New Roman" w:cs="Calibri"/>
                <w:strike w:val="false"/>
                <w:dstrike w:val="false"/>
                <w:color w:val="000000"/>
                <w:sz w:val="18"/>
                <w:szCs w:val="18"/>
                <w:lang w:eastAsia="it-IT"/>
              </w:rPr>
            </w:pPr>
            <w:r>
              <w:rPr>
                <w:rFonts w:eastAsia="Times New Roman" w:cs="Calibri" w:cstheme="minorHAnsi"/>
                <w:strike w:val="false"/>
                <w:dstrike w:val="false"/>
                <w:color w:val="000000"/>
                <w:sz w:val="18"/>
                <w:szCs w:val="18"/>
                <w:lang w:eastAsia="it-IT"/>
              </w:rPr>
              <w:t>Il principio di superamento dei divari territoriali.</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val="false"/>
                <w:b w:val="false"/>
                <w:bCs w:val="false"/>
                <w:color w:val="C9211E"/>
                <w:sz w:val="20"/>
                <w:szCs w:val="20"/>
                <w:shd w:fill="auto" w:val="clear"/>
                <w:lang w:eastAsia="it-IT"/>
              </w:rPr>
            </w:pPr>
            <w:r>
              <w:rPr>
                <w:rFonts w:eastAsia="Times New Roman" w:cs="Calibri" w:cstheme="minorHAnsi"/>
                <w:b w:val="false"/>
                <w:bCs w:val="false"/>
                <w:color w:val="C9211E"/>
                <w:sz w:val="20"/>
                <w:szCs w:val="20"/>
                <w:shd w:fill="auto" w:val="clear"/>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w:t>
            </w:r>
            <w:r>
              <w:rPr>
                <w:rFonts w:eastAsia="Times New Roman" w:cs="Calibri" w:cstheme="minorHAnsi"/>
                <w:strike w:val="false"/>
                <w:dstrike w:val="false"/>
                <w:color w:val="000000"/>
                <w:sz w:val="16"/>
                <w:szCs w:val="16"/>
                <w:lang w:eastAsia="it-IT"/>
              </w:rPr>
              <w:t>Atti di gara (Bando, avviso, capitolato, altro);</w:t>
            </w:r>
          </w:p>
          <w:p>
            <w:pPr>
              <w:pStyle w:val="Normal"/>
              <w:widowControl w:val="false"/>
              <w:spacing w:lineRule="auto" w:line="240" w:before="0" w:after="0"/>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Atto di riconducibilità per i progetti in essere</w:t>
            </w:r>
          </w:p>
        </w:tc>
      </w:tr>
      <w:tr>
        <w:trPr>
          <w:trHeight w:val="77"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6</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 xml:space="preserve">La documentazione relativa all’affidamento (Determina a contrarre, Bando, disciplinare/capitolato/avviso/ecc.) riporta il riferimento al finanziamento da parte dell’Unione europea e all’iniziativa </w:t>
            </w:r>
            <w:r>
              <w:rPr>
                <w:rFonts w:eastAsia="Times New Roman" w:cs="Calibri" w:cstheme="minorHAnsi"/>
                <w:i/>
                <w:iCs/>
                <w:color w:val="000000"/>
                <w:sz w:val="18"/>
                <w:szCs w:val="18"/>
                <w:lang w:eastAsia="it-IT"/>
              </w:rPr>
              <w:t>Next Generation EU</w:t>
            </w:r>
            <w:r>
              <w:rPr>
                <w:rFonts w:eastAsia="Times New Roman" w:cs="Calibri" w:cstheme="minorHAnsi"/>
                <w:color w:val="000000"/>
                <w:sz w:val="18"/>
                <w:szCs w:val="18"/>
                <w:lang w:eastAsia="it-IT"/>
              </w:rPr>
              <w:t xml:space="preserve"> (relativa missione e componente) e l’emblema dell’UE?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val="false"/>
                <w:b w:val="false"/>
                <w:bCs w:val="false"/>
                <w:color w:val="C9211E"/>
                <w:sz w:val="20"/>
                <w:szCs w:val="20"/>
                <w:lang w:eastAsia="it-IT"/>
              </w:rPr>
            </w:pPr>
            <w:r>
              <w:rPr>
                <w:rFonts w:eastAsia="Times New Roman" w:cs="Calibri" w:cstheme="minorHAnsi"/>
                <w:b w:val="false"/>
                <w:bCs w:val="false"/>
                <w:color w:val="C9211E"/>
                <w:sz w:val="20"/>
                <w:szCs w:val="2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Determina a contrarre o atto analogo</w:t>
            </w:r>
          </w:p>
          <w:p>
            <w:pPr>
              <w:pStyle w:val="Normal"/>
              <w:widowControl w:val="false"/>
              <w:spacing w:lineRule="auto" w:line="240" w:before="0" w:after="0"/>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Bando</w:t>
            </w:r>
          </w:p>
          <w:p>
            <w:pPr>
              <w:pStyle w:val="Normal"/>
              <w:widowControl w:val="false"/>
              <w:spacing w:lineRule="auto" w:line="240" w:before="0" w:after="0"/>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Capitolato</w:t>
            </w:r>
          </w:p>
          <w:p>
            <w:pPr>
              <w:pStyle w:val="Normal"/>
              <w:widowControl w:val="false"/>
              <w:spacing w:lineRule="auto" w:line="240" w:before="0" w:after="0"/>
              <w:rPr>
                <w:rFonts w:eastAsia="Times New Roman" w:cs="Calibri"/>
                <w:strike w:val="false"/>
                <w:dstrike w:val="false"/>
                <w:color w:val="000000"/>
                <w:sz w:val="16"/>
                <w:szCs w:val="16"/>
                <w:lang w:eastAsia="it-IT"/>
              </w:rPr>
            </w:pPr>
            <w:r>
              <w:rPr>
                <w:rFonts w:eastAsia="Times New Roman" w:cs="Calibri" w:cstheme="minorHAnsi"/>
                <w:strike w:val="false"/>
                <w:dstrike w:val="false"/>
                <w:color w:val="000000"/>
                <w:sz w:val="16"/>
                <w:szCs w:val="16"/>
                <w:lang w:eastAsia="it-IT"/>
              </w:rPr>
              <w:t xml:space="preserve">• </w:t>
            </w:r>
            <w:r>
              <w:rPr>
                <w:rFonts w:eastAsia="Times New Roman" w:cs="Calibri" w:cstheme="minorHAnsi"/>
                <w:strike w:val="false"/>
                <w:dstrike w:val="false"/>
                <w:color w:val="000000"/>
                <w:sz w:val="16"/>
                <w:szCs w:val="16"/>
                <w:lang w:eastAsia="it-IT"/>
              </w:rPr>
              <w:t>Atto di riconducibilità nel caso di  progetti in essere</w:t>
            </w:r>
          </w:p>
        </w:tc>
      </w:tr>
      <w:tr>
        <w:trPr>
          <w:trHeight w:val="77"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eastAsia="Times New Roman"/>
                <w:color w:val="000000" w:themeColor="text1"/>
                <w:lang w:eastAsia="it-IT"/>
              </w:rPr>
            </w:pPr>
            <w:r>
              <w:rPr>
                <w:rFonts w:eastAsia="Times New Roman"/>
                <w:color w:val="000000" w:themeColor="text1"/>
                <w:lang w:eastAsia="it-IT"/>
              </w:rPr>
              <w:t>7</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both"/>
              <w:rPr>
                <w:rFonts w:ascii="Calibri" w:hAnsi="Calibri" w:eastAsia="Calibri" w:cs="Calibri"/>
                <w:color w:val="000000" w:themeColor="text1"/>
                <w:sz w:val="18"/>
                <w:szCs w:val="18"/>
              </w:rPr>
            </w:pPr>
            <w:r>
              <w:rPr>
                <w:rFonts w:eastAsia="Calibri" w:cs="Calibri"/>
                <w:color w:val="000000" w:themeColor="text1"/>
                <w:sz w:val="18"/>
                <w:szCs w:val="18"/>
              </w:rPr>
              <w:t>Sono state assunte adeguate misure di prevenzione di irregolarità e frodi, corruzione conflitti di interesse e duplicazione dei finanziamenti, attraverso l’adozione, all’interno della struttura del Soggetto Attuatore, di un sistema organico di procedure, principi e regole?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eastAsia="Times New Roman"/>
                <w:b/>
                <w:b/>
                <w:bCs/>
                <w:color w:val="000000" w:themeColor="text1"/>
                <w:highlight w:val="yellow"/>
                <w:lang w:eastAsia="it-IT"/>
              </w:rPr>
            </w:pPr>
            <w:r>
              <w:rPr>
                <w:rFonts w:eastAsia="Times New Roman"/>
                <w:b/>
                <w:bCs/>
                <w:color w:val="000000" w:themeColor="text1"/>
                <w:highlight w:val="yellow"/>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eastAsia="Times New Roman"/>
                <w:b/>
                <w:b/>
                <w:bCs/>
                <w:color w:val="000000" w:themeColor="text1"/>
                <w:highlight w:val="yellow"/>
                <w:lang w:eastAsia="it-IT"/>
              </w:rPr>
            </w:pPr>
            <w:r>
              <w:rPr>
                <w:rFonts w:eastAsia="Times New Roman"/>
                <w:b/>
                <w:bCs/>
                <w:color w:val="000000" w:themeColor="text1"/>
                <w:highlight w:val="yellow"/>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eastAsia="Times New Roman"/>
                <w:b/>
                <w:b/>
                <w:bCs/>
                <w:color w:val="000000" w:themeColor="text1"/>
                <w:lang w:eastAsia="it-IT"/>
              </w:rPr>
            </w:pPr>
            <w:r>
              <w:rPr>
                <w:rFonts w:eastAsia="Times New Roman"/>
                <w:b/>
                <w:bCs/>
                <w:color w:val="000000" w:themeColor="text1"/>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rPr>
                <w:rFonts w:eastAsia="Times New Roman"/>
                <w:b/>
                <w:b/>
                <w:bCs/>
                <w:color w:val="000000" w:themeColor="text1"/>
                <w:lang w:eastAsia="it-IT"/>
              </w:rPr>
            </w:pPr>
            <w:r>
              <w:rPr>
                <w:rFonts w:eastAsia="Times New Roman"/>
                <w:b/>
                <w:bCs/>
                <w:color w:val="000000" w:themeColor="text1"/>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eastAsia="Times New Roman"/>
                <w:color w:val="C9211E"/>
                <w:sz w:val="16"/>
                <w:szCs w:val="16"/>
                <w:lang w:eastAsia="it-IT"/>
              </w:rPr>
            </w:pPr>
            <w:r>
              <w:rPr>
                <w:rFonts w:eastAsia="Times New Roman"/>
                <w:color w:val="C9211E"/>
                <w:sz w:val="16"/>
                <w:szCs w:val="16"/>
                <w:lang w:eastAsia="it-IT"/>
              </w:rPr>
            </w:r>
          </w:p>
        </w:tc>
      </w:tr>
      <w:tr>
        <w:trPr>
          <w:trHeight w:val="651" w:hRule="atLeast"/>
        </w:trPr>
        <w:tc>
          <w:tcPr>
            <w:tcW w:w="4359" w:type="dxa"/>
            <w:gridSpan w:val="2"/>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VERIFICA AFFIDAMENTI</w:t>
            </w:r>
          </w:p>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r>
          </w:p>
        </w:tc>
        <w:tc>
          <w:tcPr>
            <w:tcW w:w="410"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SI</w:t>
            </w:r>
          </w:p>
        </w:tc>
        <w:tc>
          <w:tcPr>
            <w:tcW w:w="40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NO</w:t>
            </w:r>
          </w:p>
        </w:tc>
        <w:tc>
          <w:tcPr>
            <w:tcW w:w="47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N.A.</w:t>
            </w:r>
          </w:p>
        </w:tc>
        <w:tc>
          <w:tcPr>
            <w:tcW w:w="1554"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Elenco dei documenti verificati/</w:t>
            </w:r>
          </w:p>
          <w:p>
            <w:pPr>
              <w:pStyle w:val="Normal"/>
              <w:widowControl w:val="false"/>
              <w:spacing w:lineRule="auto" w:line="240" w:before="0" w:after="0"/>
              <w:jc w:val="center"/>
              <w:rPr>
                <w:rFonts w:eastAsia="Times New Roman" w:cs="Calibri" w:cstheme="minorHAnsi"/>
                <w:b/>
                <w:b/>
                <w:bCs/>
                <w:color w:val="FFFFFF"/>
                <w:sz w:val="18"/>
                <w:szCs w:val="18"/>
                <w:lang w:eastAsia="it-IT"/>
              </w:rPr>
            </w:pPr>
            <w:r>
              <w:rPr>
                <w:rFonts w:eastAsia="Times New Roman" w:cs="Calibri" w:cstheme="minorHAnsi"/>
                <w:b/>
                <w:bCs/>
                <w:color w:val="FFFFFF"/>
                <w:sz w:val="18"/>
                <w:szCs w:val="18"/>
                <w:lang w:eastAsia="it-IT"/>
              </w:rPr>
              <w:t>Note</w:t>
            </w:r>
          </w:p>
        </w:tc>
        <w:tc>
          <w:tcPr>
            <w:tcW w:w="3208" w:type="dxa"/>
            <w:tcBorders>
              <w:top w:val="single" w:sz="4" w:space="0" w:color="000000"/>
              <w:left w:val="single" w:sz="4" w:space="0" w:color="000000"/>
              <w:bottom w:val="single" w:sz="4" w:space="0" w:color="000000"/>
              <w:right w:val="single" w:sz="4" w:space="0" w:color="000000"/>
            </w:tcBorders>
            <w:shd w:color="auto" w:fill="CCCCFF" w:val="clear"/>
            <w:vAlign w:val="center"/>
          </w:tcPr>
          <w:p>
            <w:pPr>
              <w:pStyle w:val="Normal"/>
              <w:widowControl w:val="false"/>
              <w:spacing w:lineRule="auto" w:line="240" w:before="0" w:after="0"/>
              <w:jc w:val="center"/>
              <w:rPr>
                <w:rFonts w:eastAsia="Times New Roman" w:cs="Calibri" w:cstheme="minorHAnsi"/>
                <w:b/>
                <w:b/>
                <w:bCs/>
                <w:sz w:val="18"/>
                <w:szCs w:val="18"/>
                <w:highlight w:val="yellow"/>
                <w:lang w:eastAsia="it-IT"/>
              </w:rPr>
            </w:pPr>
            <w:r>
              <w:rPr>
                <w:rFonts w:eastAsia="Times New Roman" w:cs="Calibri" w:cstheme="minorHAnsi"/>
                <w:b/>
                <w:bCs/>
                <w:sz w:val="18"/>
                <w:szCs w:val="18"/>
                <w:lang w:eastAsia="it-IT"/>
              </w:rPr>
              <w:t>Oggetto del controllo</w:t>
            </w:r>
            <w:r>
              <w:rPr>
                <w:rStyle w:val="Richiamoallanotaapidipagina"/>
                <w:rFonts w:eastAsia="Times New Roman" w:cs="Calibri" w:cstheme="minorHAnsi"/>
                <w:b/>
                <w:bCs/>
                <w:sz w:val="18"/>
                <w:szCs w:val="18"/>
                <w:lang w:eastAsia="it-IT"/>
              </w:rPr>
              <w:footnoteReference w:id="3"/>
            </w:r>
          </w:p>
        </w:tc>
      </w:tr>
      <w:tr>
        <w:trPr>
          <w:trHeight w:val="464" w:hRule="atLeast"/>
        </w:trPr>
        <w:tc>
          <w:tcPr>
            <w:tcW w:w="486"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jc w:val="center"/>
              <w:rPr>
                <w:rFonts w:eastAsia="Times New Roman" w:cs="Calibri" w:cstheme="minorHAnsi"/>
                <w:b/>
                <w:b/>
                <w:bCs/>
                <w:color w:val="000000"/>
                <w:sz w:val="20"/>
                <w:szCs w:val="20"/>
                <w:lang w:eastAsia="it-IT"/>
              </w:rPr>
            </w:pPr>
            <w:r>
              <w:rPr>
                <w:rFonts w:eastAsia="Times New Roman" w:cs="Calibri" w:cstheme="minorHAnsi"/>
                <w:b/>
                <w:bCs/>
                <w:color w:val="000000"/>
                <w:sz w:val="20"/>
                <w:szCs w:val="20"/>
                <w:lang w:eastAsia="it-IT"/>
              </w:rPr>
              <w:t>B</w:t>
            </w:r>
          </w:p>
        </w:tc>
        <w:tc>
          <w:tcPr>
            <w:tcW w:w="9931" w:type="dxa"/>
            <w:gridSpan w:val="6"/>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rPr>
                <w:rFonts w:eastAsia="Times New Roman" w:cs="Calibri" w:cstheme="minorHAnsi"/>
                <w:color w:val="000000"/>
                <w:sz w:val="20"/>
                <w:szCs w:val="20"/>
                <w:highlight w:val="yellow"/>
                <w:lang w:eastAsia="it-IT"/>
              </w:rPr>
            </w:pPr>
            <w:r>
              <w:rPr>
                <w:rFonts w:eastAsia="Times New Roman" w:cs="Calibri" w:cstheme="minorHAnsi"/>
                <w:b/>
                <w:bCs/>
                <w:sz w:val="20"/>
                <w:szCs w:val="20"/>
                <w:lang w:eastAsia="it-IT"/>
              </w:rPr>
              <w:t>Determina a contrarre e documenti di gara</w:t>
            </w:r>
          </w:p>
        </w:tc>
      </w:tr>
      <w:tr>
        <w:trPr>
          <w:trHeight w:val="77"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highlight w:val="green"/>
                <w:lang w:eastAsia="it-IT"/>
              </w:rPr>
            </w:pPr>
            <w:r>
              <w:rPr>
                <w:rFonts w:eastAsia="Times New Roman" w:cs="Calibri" w:cstheme="minorHAnsi"/>
                <w:color w:val="000000"/>
                <w:lang w:eastAsia="it-IT"/>
              </w:rPr>
              <w:t>1</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Sono stati rispettati gli adempimenti relativi alla Pianificazione e Programmazione dei lavori/acquisti e i relativi obblighi di pubblicità?</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Per l’effettuazione della specifica verifica si rimanda agli Artt. 21 e 29 D.lgs. 50/2016.</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Programma biennale delle forniture e servizi</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Programma triennale lavori</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approvazione del Programma biennale/triennale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Link profilo committente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Link sito informatico del Ministero delle infrastrutture e dei trasporti e dell’Osservatorio</w:t>
            </w:r>
          </w:p>
        </w:tc>
      </w:tr>
      <w:tr>
        <w:trPr>
          <w:trHeight w:val="978"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2</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La Stazione Appaltante è in possesso della qualificazione prevista all'art. 38 del D.lgs. 50/2016 e ha rispettato quanto disposto dall'art. 37 del D.lgs. 50/2016?</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tc>
      </w:tr>
      <w:tr>
        <w:trPr>
          <w:trHeight w:val="823"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3</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E’ stato nominato il Responsabile delle procedure di affidamento ai sensi dell’art. 31 del D.lgs. 50/2016 e l’eventuale direttore dell’esecuzione del contratto?</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nomina del RUP</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nomina del DEC</w:t>
            </w:r>
          </w:p>
        </w:tc>
      </w:tr>
      <w:tr>
        <w:trPr>
          <w:trHeight w:val="669"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4</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highlight w:val="yellow"/>
                <w:lang w:eastAsia="it-IT"/>
              </w:rPr>
            </w:pPr>
            <w:r>
              <w:rPr>
                <w:rFonts w:eastAsia="Times New Roman" w:cs="Calibri" w:cstheme="minorHAnsi"/>
                <w:color w:val="000000"/>
                <w:sz w:val="18"/>
                <w:szCs w:val="18"/>
                <w:lang w:eastAsia="it-IT"/>
              </w:rPr>
              <w:t>Nel caso di opere pubbliche, prima dell'inizio delle procedure di affidamento, gli elaborati progettuali sono stati validati ai sensi dell’art. 26, comma 8 del D. lgs 50/2016 nonché approvati ai sensi dell’art. 27 del D. lgs 50/2016 medesimo?</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highlight w:val="yellow"/>
                <w:lang w:eastAsia="it-IT"/>
              </w:rPr>
            </w:pPr>
            <w:r>
              <w:rPr>
                <w:rFonts w:eastAsia="Times New Roman" w:cs="Calibri" w:cstheme="minorHAnsi"/>
                <w:color w:val="000000"/>
                <w:highlight w:val="yellow"/>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Per l’effettuazione della specifica verifica si rimanda agli Artt. 23,26, 27 D.lgs. 50/2016.</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Progetto di fattibilità tecnica ed economica, progetto definitivo, progetto esecutivo;</w:t>
            </w:r>
          </w:p>
          <w:p>
            <w:pPr>
              <w:pStyle w:val="Normal"/>
              <w:widowControl w:val="false"/>
              <w:spacing w:lineRule="auto" w:line="240" w:before="0" w:after="0"/>
              <w:rPr>
                <w:rFonts w:eastAsia="Times New Roman" w:cs="Calibri" w:cstheme="minorHAnsi"/>
                <w:color w:val="000000"/>
                <w:sz w:val="16"/>
                <w:szCs w:val="16"/>
                <w:highlight w:val="yellow"/>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Atti di approvazione dei progetti/Atti di validazione del RUP</w:t>
            </w:r>
          </w:p>
        </w:tc>
      </w:tr>
      <w:tr>
        <w:trPr>
          <w:trHeight w:val="1739"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5</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r>
          </w:p>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La determina/delibera a contrarre/di affidamento contiene le informazioni essenziali richieste dal D.lgs 50/2016?</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b/>
                <w:b/>
                <w:bCs/>
                <w:color w:val="000000"/>
                <w:sz w:val="16"/>
                <w:szCs w:val="16"/>
                <w:lang w:eastAsia="it-IT"/>
              </w:rPr>
            </w:pPr>
            <w:r>
              <w:rPr>
                <w:rFonts w:eastAsia="Times New Roman" w:cs="Calibri" w:cstheme="minorHAnsi"/>
                <w:color w:val="000000"/>
                <w:sz w:val="16"/>
                <w:szCs w:val="16"/>
                <w:lang w:eastAsia="it-IT"/>
              </w:rPr>
              <w:t>Per l’effettuazione della specifica verifica si rimanda all’Art. 32 D. Lgs. 50/2016.</w:t>
            </w:r>
          </w:p>
          <w:p>
            <w:pPr>
              <w:pStyle w:val="Normal"/>
              <w:widowControl w:val="false"/>
              <w:spacing w:lineRule="auto" w:line="240" w:before="0" w:after="0"/>
              <w:rPr>
                <w:rFonts w:eastAsia="Times New Roman" w:cs="Calibri" w:cstheme="minorHAnsi"/>
                <w:b/>
                <w:b/>
                <w:bCs/>
                <w:color w:val="000000"/>
                <w:sz w:val="16"/>
                <w:szCs w:val="16"/>
                <w:lang w:eastAsia="it-IT"/>
              </w:rPr>
            </w:pPr>
            <w:r>
              <w:rPr>
                <w:rFonts w:eastAsia="Times New Roman" w:cs="Calibri" w:cstheme="minorHAnsi"/>
                <w:b/>
                <w:bCs/>
                <w:color w:val="000000"/>
                <w:sz w:val="16"/>
                <w:szCs w:val="16"/>
                <w:lang w:eastAsia="it-IT"/>
              </w:rPr>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b/>
                <w:bCs/>
                <w:color w:val="000000"/>
                <w:sz w:val="16"/>
                <w:szCs w:val="16"/>
                <w:lang w:eastAsia="it-IT"/>
              </w:rPr>
              <w:t xml:space="preserve">• </w:t>
            </w:r>
            <w:r>
              <w:rPr>
                <w:rFonts w:eastAsia="Times New Roman" w:cs="Calibri" w:cstheme="minorHAnsi"/>
                <w:color w:val="000000"/>
                <w:sz w:val="16"/>
                <w:szCs w:val="16"/>
                <w:lang w:eastAsia="it-IT"/>
              </w:rPr>
              <w:t>Determina a contrarre o atto analogo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Documentazione di gara (se approvata dalla determina)</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Dimostrazione dell'avvenuta pubblicazione ai sensi dell'art. 29 d.lgs. 50/2016</w:t>
            </w:r>
          </w:p>
        </w:tc>
      </w:tr>
      <w:tr>
        <w:trPr>
          <w:trHeight w:val="1314"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6</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Il CIG e il CUP e sono stati riportati nella documentazione relativa all’affidamento?</w:t>
            </w:r>
          </w:p>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CIG</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CUP</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Bando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Capitolato</w:t>
            </w:r>
          </w:p>
          <w:p>
            <w:pPr>
              <w:pStyle w:val="Normal"/>
              <w:widowControl w:val="false"/>
              <w:spacing w:lineRule="auto" w:line="240" w:before="0" w:after="0"/>
              <w:rPr>
                <w:rFonts w:eastAsia="Times New Roman" w:cs="Calibri" w:cstheme="minorHAnsi"/>
                <w:color w:val="000000"/>
                <w:sz w:val="16"/>
                <w:szCs w:val="16"/>
                <w:highlight w:val="green"/>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riconducibilità nel caso di progetti in essere</w:t>
            </w:r>
          </w:p>
        </w:tc>
      </w:tr>
      <w:tr>
        <w:trPr>
          <w:trHeight w:val="1417"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7</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La procedura di gara per l'affidamento dei lavori e/o forniture di beni e /o servizi è stata espletata nel rispetto di quanto previsto dalla normativa vigente</w:t>
            </w:r>
          </w:p>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e in particolare dal D.Lgs. 50/2016?</w:t>
            </w:r>
          </w:p>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Nello specifico:</w:t>
            </w:r>
          </w:p>
          <w:p>
            <w:pPr>
              <w:pStyle w:val="Normal"/>
              <w:widowControl w:val="false"/>
              <w:spacing w:lineRule="auto" w:line="240" w:before="0" w:after="0"/>
              <w:jc w:val="both"/>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1) nell'espletamento della procedura di gara sono stati rispettati i principi di trasparenza, libera concorrenza, proporzionalità, parità di trattamento e non discriminazione dettati dal D.Lgs. 50/2016?</w:t>
            </w:r>
          </w:p>
          <w:p>
            <w:pPr>
              <w:pStyle w:val="Normal"/>
              <w:widowControl w:val="false"/>
              <w:spacing w:lineRule="auto" w:line="240" w:before="0" w:after="0"/>
              <w:jc w:val="both"/>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2) sono stati rispettati gli obblighi in materia di pubblicazioni pre e post-aggiudicazione secondo le modalità e tempistiche dettate dal D.Lgs. 50/2016?</w:t>
            </w:r>
          </w:p>
          <w:p>
            <w:pPr>
              <w:pStyle w:val="Normal"/>
              <w:widowControl w:val="false"/>
              <w:spacing w:lineRule="auto" w:line="240" w:before="0" w:after="0"/>
              <w:jc w:val="both"/>
              <w:rPr>
                <w:rFonts w:eastAsia="Times New Roman" w:cs="Calibri" w:cstheme="minorHAnsi"/>
                <w:color w:val="000000"/>
                <w:sz w:val="18"/>
                <w:szCs w:val="18"/>
                <w:highlight w:val="green"/>
                <w:lang w:eastAsia="it-IT"/>
              </w:rPr>
            </w:pPr>
            <w:r>
              <w:rPr>
                <w:rFonts w:eastAsia="Times New Roman" w:cs="Calibri" w:cstheme="minorHAnsi"/>
                <w:color w:val="000000"/>
                <w:sz w:val="18"/>
                <w:szCs w:val="18"/>
                <w:lang w:eastAsia="it-IT"/>
              </w:rPr>
              <w:t>3) sono state rispettate le norme previste dal D.Lgs. 50/2016 in relazione ai termini di ricezione delle offerte?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w:t>
            </w:r>
            <w:r>
              <w:rPr>
                <w:rFonts w:eastAsia="Times New Roman" w:cs="Calibri" w:cstheme="minorHAnsi"/>
                <w:color w:val="000000"/>
                <w:sz w:val="16"/>
                <w:szCs w:val="16"/>
                <w:lang w:eastAsia="it-IT"/>
              </w:rPr>
              <w:t>Bando/avviso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w:t>
            </w:r>
            <w:r>
              <w:rPr>
                <w:rFonts w:eastAsia="Times New Roman" w:cs="Calibri" w:cstheme="minorHAnsi"/>
                <w:color w:val="000000"/>
                <w:sz w:val="16"/>
                <w:szCs w:val="16"/>
                <w:lang w:eastAsia="it-IT"/>
              </w:rPr>
              <w:t>Prova delle pubblicazioni effettuate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Avviso di aggiudicazione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w:t>
            </w:r>
            <w:r>
              <w:rPr>
                <w:rFonts w:eastAsia="Times New Roman" w:cs="Calibri" w:cstheme="minorHAnsi"/>
                <w:color w:val="000000"/>
                <w:sz w:val="16"/>
                <w:szCs w:val="16"/>
                <w:lang w:eastAsia="it-IT"/>
              </w:rPr>
              <w:t>Comunicazione aggiudicatario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Comunicazioni ex art.76</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w:t>
            </w:r>
            <w:r>
              <w:rPr>
                <w:rFonts w:eastAsia="Times New Roman" w:cs="Calibri" w:cstheme="minorHAnsi"/>
                <w:color w:val="000000"/>
                <w:sz w:val="16"/>
                <w:szCs w:val="16"/>
                <w:lang w:eastAsia="it-IT"/>
              </w:rPr>
              <w:t>Offerte/verbali commissione</w:t>
            </w:r>
          </w:p>
        </w:tc>
      </w:tr>
      <w:tr>
        <w:trPr>
          <w:trHeight w:val="680" w:hRule="atLeast"/>
        </w:trPr>
        <w:tc>
          <w:tcPr>
            <w:tcW w:w="486"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jc w:val="center"/>
              <w:rPr>
                <w:rFonts w:eastAsia="Times New Roman" w:cs="Calibri" w:cstheme="minorHAnsi"/>
                <w:b/>
                <w:b/>
                <w:bCs/>
                <w:color w:val="000000"/>
                <w:sz w:val="20"/>
                <w:szCs w:val="20"/>
                <w:lang w:eastAsia="it-IT"/>
              </w:rPr>
            </w:pPr>
            <w:r>
              <w:rPr>
                <w:rFonts w:eastAsia="Times New Roman" w:cs="Calibri" w:cstheme="minorHAnsi"/>
                <w:b/>
                <w:bCs/>
                <w:color w:val="000000"/>
                <w:sz w:val="20"/>
                <w:szCs w:val="20"/>
                <w:lang w:eastAsia="it-IT"/>
              </w:rPr>
              <w:t>C</w:t>
            </w:r>
          </w:p>
        </w:tc>
        <w:tc>
          <w:tcPr>
            <w:tcW w:w="6723" w:type="dxa"/>
            <w:gridSpan w:val="5"/>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rPr>
                <w:rFonts w:eastAsia="Times New Roman" w:cs="Calibri" w:cstheme="minorHAnsi"/>
                <w:b/>
                <w:b/>
                <w:bCs/>
                <w:color w:val="000000"/>
                <w:sz w:val="20"/>
                <w:szCs w:val="20"/>
                <w:lang w:eastAsia="it-IT"/>
              </w:rPr>
            </w:pPr>
            <w:r>
              <w:rPr>
                <w:rFonts w:eastAsia="Times New Roman" w:cs="Calibri" w:cstheme="minorHAnsi"/>
                <w:b/>
                <w:bCs/>
                <w:color w:val="000000"/>
                <w:sz w:val="20"/>
                <w:szCs w:val="20"/>
                <w:lang w:eastAsia="it-IT"/>
              </w:rPr>
              <w:t>Verifica del rispetto della normativa appalti: commissione di gara e aggiudicazione</w:t>
            </w:r>
          </w:p>
        </w:tc>
        <w:tc>
          <w:tcPr>
            <w:tcW w:w="3208"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rPr>
                <w:rFonts w:eastAsia="Times New Roman" w:cs="Calibri" w:cstheme="minorHAnsi"/>
                <w:b/>
                <w:b/>
                <w:bCs/>
                <w:sz w:val="20"/>
                <w:szCs w:val="20"/>
                <w:lang w:eastAsia="it-IT"/>
              </w:rPr>
            </w:pPr>
            <w:r>
              <w:rPr>
                <w:rFonts w:eastAsia="Times New Roman" w:cs="Calibri" w:cstheme="minorHAnsi"/>
                <w:b/>
                <w:bCs/>
                <w:sz w:val="20"/>
                <w:szCs w:val="20"/>
                <w:lang w:eastAsia="it-IT"/>
              </w:rPr>
            </w:r>
          </w:p>
          <w:p>
            <w:pPr>
              <w:pStyle w:val="Normal"/>
              <w:widowControl w:val="false"/>
              <w:spacing w:lineRule="auto" w:line="240" w:before="0" w:after="0"/>
              <w:rPr>
                <w:rFonts w:eastAsia="Times New Roman" w:cs="Calibri" w:cstheme="minorHAnsi"/>
                <w:b/>
                <w:b/>
                <w:bCs/>
                <w:sz w:val="20"/>
                <w:szCs w:val="20"/>
                <w:lang w:eastAsia="it-IT"/>
              </w:rPr>
            </w:pPr>
            <w:r>
              <w:rPr>
                <w:rFonts w:eastAsia="Times New Roman" w:cs="Calibri" w:cstheme="minorHAnsi"/>
                <w:b/>
                <w:bCs/>
                <w:sz w:val="20"/>
                <w:szCs w:val="20"/>
                <w:lang w:eastAsia="it-IT"/>
              </w:rPr>
            </w:r>
          </w:p>
        </w:tc>
      </w:tr>
      <w:tr>
        <w:trPr>
          <w:trHeight w:val="1115"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1</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highlight w:val="green"/>
                <w:lang w:eastAsia="it-IT"/>
              </w:rPr>
            </w:pPr>
            <w:r>
              <w:rPr>
                <w:rFonts w:eastAsia="Times New Roman" w:cs="Calibri" w:cstheme="minorHAnsi"/>
                <w:color w:val="000000"/>
                <w:sz w:val="18"/>
                <w:szCs w:val="18"/>
                <w:lang w:eastAsia="it-IT"/>
              </w:rPr>
              <w:t>Sono state rispettate le norme previste dall’art. 77 del D.Lgs. 50/2016 in relazione alla costituzione della commissione giudicatrice?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green"/>
                <w:lang w:eastAsia="it-IT"/>
              </w:rPr>
            </w:pPr>
            <w:r>
              <w:rPr>
                <w:rFonts w:eastAsia="Times New Roman" w:cs="Calibri" w:cstheme="minorHAnsi"/>
                <w:b/>
                <w:bCs/>
                <w:color w:val="000000"/>
                <w:highlight w:val="green"/>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nomina dei commissari e di costituzione della Commissione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Bando ed altra documentazione di gara</w:t>
            </w:r>
          </w:p>
          <w:p>
            <w:pPr>
              <w:pStyle w:val="Normal"/>
              <w:widowControl w:val="false"/>
              <w:spacing w:lineRule="auto" w:line="240" w:before="0" w:after="0"/>
              <w:rPr>
                <w:rFonts w:eastAsia="Times New Roman" w:cs="Calibri" w:cstheme="minorHAnsi"/>
                <w:color w:val="000000"/>
                <w:sz w:val="16"/>
                <w:szCs w:val="16"/>
                <w:highlight w:val="green"/>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Eventuale regolamento interno alla stazione appaltante</w:t>
            </w:r>
          </w:p>
        </w:tc>
      </w:tr>
      <w:tr>
        <w:trPr>
          <w:trHeight w:val="930"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2</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La Commissione giudicatrice è composta da un numero dispari di componenti, in numero massimo di cinque, esperti nello specifico settore cui si riferisce l’oggetto del contratto?</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nomina dei commissari e di costituzione della Commissione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Linee guida ANAC n. 5</w:t>
            </w:r>
          </w:p>
        </w:tc>
      </w:tr>
      <w:tr>
        <w:trPr>
          <w:trHeight w:val="990"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3</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18"/>
                <w:szCs w:val="18"/>
                <w:lang w:eastAsia="it-IT"/>
              </w:rPr>
            </w:pPr>
            <w:r>
              <w:rPr>
                <w:rFonts w:eastAsia="Times New Roman" w:cs="Calibri" w:cstheme="minorHAnsi"/>
                <w:sz w:val="18"/>
                <w:szCs w:val="18"/>
                <w:lang w:eastAsia="it-IT"/>
              </w:rPr>
              <w:t>Nella nomina dei commissari, sono state rispettate le ulteriori clausole di incompatibilità previste ai commi 4, 5, 6 e 9 dell’art. 77 del D.Lgs. 50/2016?</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w:t>
            </w:r>
            <w:r>
              <w:rPr>
                <w:rFonts w:eastAsia="Times New Roman" w:cs="Calibri" w:cstheme="minorHAnsi"/>
                <w:color w:val="000000"/>
                <w:sz w:val="16"/>
                <w:szCs w:val="16"/>
                <w:lang w:eastAsia="it-IT"/>
              </w:rPr>
              <w:t>Atto di nomina dei commissari e di costituzione della Commissione</w:t>
            </w:r>
          </w:p>
          <w:p>
            <w:pPr>
              <w:pStyle w:val="Normal"/>
              <w:widowControl w:val="false"/>
              <w:spacing w:lineRule="auto" w:line="240" w:before="0" w:after="0"/>
              <w:rPr>
                <w:rFonts w:eastAsia="Times New Roman"/>
                <w:color w:val="000000"/>
                <w:sz w:val="16"/>
                <w:szCs w:val="16"/>
                <w:lang w:eastAsia="it-IT"/>
              </w:rPr>
            </w:pPr>
            <w:r>
              <w:rPr>
                <w:rFonts w:eastAsia="Times New Roman"/>
                <w:color w:val="000000" w:themeColor="text1"/>
                <w:sz w:val="16"/>
                <w:szCs w:val="16"/>
                <w:lang w:eastAsia="it-IT"/>
              </w:rPr>
              <w:t>•</w:t>
            </w:r>
            <w:r>
              <w:rPr>
                <w:rFonts w:eastAsia="Times New Roman"/>
                <w:color w:val="000000" w:themeColor="text1"/>
                <w:sz w:val="16"/>
                <w:szCs w:val="16"/>
                <w:lang w:eastAsia="it-IT"/>
              </w:rPr>
              <w:t>Dichiarazioni di insussistenza di cause di incompatibilità</w:t>
            </w:r>
          </w:p>
        </w:tc>
      </w:tr>
      <w:tr>
        <w:trPr>
          <w:trHeight w:val="872"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4</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18"/>
                <w:szCs w:val="18"/>
                <w:lang w:eastAsia="it-IT"/>
              </w:rPr>
            </w:pPr>
            <w:r>
              <w:rPr>
                <w:rFonts w:eastAsia="Times New Roman" w:cs="Calibri" w:cstheme="minorHAnsi"/>
                <w:sz w:val="18"/>
                <w:szCs w:val="18"/>
                <w:lang w:eastAsia="it-IT"/>
              </w:rPr>
              <w:t>La scelta dei criteri di aggiudicazione dell'appalto è stata effettuata dalla Stazione Appaltante in conformità con le disposizioni previste dall'art. 95 del D.lgs. 50/2016, commi 2, 3, 6 e 7?</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Capitolato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Bando</w:t>
            </w:r>
          </w:p>
        </w:tc>
      </w:tr>
      <w:tr>
        <w:trPr>
          <w:trHeight w:val="842"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5</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La verifica dei requisiti generali è avvenuta tenendo conto dei motivi di esclusione previsti all'art. 80 del D.lgs. 50/2016?</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Capitolato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Bando</w:t>
            </w:r>
          </w:p>
        </w:tc>
      </w:tr>
      <w:tr>
        <w:trPr>
          <w:trHeight w:val="499"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6</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Sono stati redatti i verbali delle operazioni di gara da parte del RUP e/o dalla Commissione giudicatrice?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Verbali commissione</w:t>
            </w:r>
          </w:p>
        </w:tc>
      </w:tr>
      <w:tr>
        <w:trPr>
          <w:trHeight w:val="1030"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7</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È stata verificata l’eventuale esclusione di offerte anormalmente basse e sono stati comunicati in seduta pubblica gli esiti del procedimento di anomalia delle offerte?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highlight w:val="yellow"/>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Verbali commissione</w:t>
            </w:r>
          </w:p>
        </w:tc>
      </w:tr>
      <w:tr>
        <w:trPr>
          <w:trHeight w:val="988"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8</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cstheme="minorHAnsi"/>
                <w:sz w:val="18"/>
                <w:szCs w:val="18"/>
              </w:rPr>
            </w:pPr>
            <w:r>
              <w:rPr>
                <w:rFonts w:cs="Calibri" w:cstheme="minorHAnsi"/>
                <w:sz w:val="18"/>
                <w:szCs w:val="18"/>
              </w:rPr>
              <w:t>É stata formulata la proposta di aggiudicazione ai sensi degli artt. 32, comma 5 e 33, comma 1 del D.lgs. 50/2016 ed è stata approvata dall’organo competente?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Proposta di aggiudicazione</w:t>
            </w:r>
          </w:p>
        </w:tc>
      </w:tr>
      <w:tr>
        <w:trPr>
          <w:trHeight w:val="623"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9</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cs="Calibri" w:cstheme="minorHAnsi"/>
                <w:sz w:val="18"/>
                <w:szCs w:val="18"/>
              </w:rPr>
              <w:t>L’aggiudicazione è avvenuta sulla base dei criteri indicati nella documentazione di gara?</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Decreto di aggiudicazione</w:t>
            </w:r>
          </w:p>
        </w:tc>
      </w:tr>
      <w:tr>
        <w:trPr>
          <w:trHeight w:val="987"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10</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È stata acquisita la dichiarazione della Stazione Appaltante con cui viene attestata la presenza/assenza di ricorsi avverso l’aggiudicazione?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Attestazione assenza ricorsi</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tc>
      </w:tr>
      <w:tr>
        <w:trPr>
          <w:trHeight w:val="434" w:hRule="atLeast"/>
        </w:trPr>
        <w:tc>
          <w:tcPr>
            <w:tcW w:w="486"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jc w:val="center"/>
              <w:rPr>
                <w:rFonts w:eastAsia="Times New Roman" w:cs="Calibri" w:cstheme="minorHAnsi"/>
                <w:b/>
                <w:b/>
                <w:bCs/>
                <w:sz w:val="20"/>
                <w:szCs w:val="20"/>
                <w:lang w:eastAsia="it-IT"/>
              </w:rPr>
            </w:pPr>
            <w:r>
              <w:rPr>
                <w:rFonts w:eastAsia="Times New Roman" w:cs="Calibri" w:cstheme="minorHAnsi"/>
                <w:b/>
                <w:bCs/>
                <w:sz w:val="20"/>
                <w:szCs w:val="20"/>
                <w:lang w:eastAsia="it-IT"/>
              </w:rPr>
              <w:t>D</w:t>
            </w:r>
          </w:p>
        </w:tc>
        <w:tc>
          <w:tcPr>
            <w:tcW w:w="6723" w:type="dxa"/>
            <w:gridSpan w:val="5"/>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rPr>
                <w:rFonts w:eastAsia="Times New Roman" w:cs="Calibri" w:cstheme="minorHAnsi"/>
                <w:b/>
                <w:b/>
                <w:bCs/>
                <w:sz w:val="20"/>
                <w:szCs w:val="20"/>
                <w:lang w:eastAsia="it-IT"/>
              </w:rPr>
            </w:pPr>
            <w:r>
              <w:rPr>
                <w:rFonts w:eastAsia="Times New Roman" w:cs="Calibri" w:cstheme="minorHAnsi"/>
                <w:b/>
                <w:bCs/>
                <w:sz w:val="20"/>
                <w:szCs w:val="20"/>
                <w:lang w:eastAsia="it-IT"/>
              </w:rPr>
              <w:t>Verifica del rispetto della normativa appalti: la stipula del contratto</w:t>
            </w:r>
          </w:p>
        </w:tc>
        <w:tc>
          <w:tcPr>
            <w:tcW w:w="3208"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rPr>
                <w:rFonts w:eastAsia="Times New Roman" w:cs="Calibri" w:cstheme="minorHAnsi"/>
                <w:b/>
                <w:b/>
                <w:bCs/>
                <w:sz w:val="20"/>
                <w:szCs w:val="20"/>
                <w:lang w:eastAsia="it-IT"/>
              </w:rPr>
            </w:pPr>
            <w:r>
              <w:rPr>
                <w:rFonts w:eastAsia="Times New Roman" w:cs="Calibri" w:cstheme="minorHAnsi"/>
                <w:b/>
                <w:bCs/>
                <w:sz w:val="20"/>
                <w:szCs w:val="20"/>
                <w:lang w:eastAsia="it-IT"/>
              </w:rPr>
            </w:r>
          </w:p>
        </w:tc>
      </w:tr>
      <w:tr>
        <w:trPr>
          <w:trHeight w:val="1050"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1</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Il contratto è stato stipulato decorso il termine di 35 giorni dall'invio dell'ultima delle comunicazioni del provvedimento di aggiudicazione definitiva ai sensi dell'art. 32, comma 9 del D.lgs. 50/2016</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aggiudicazione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Altro</w:t>
            </w:r>
          </w:p>
        </w:tc>
      </w:tr>
      <w:tr>
        <w:trPr>
          <w:trHeight w:val="1030"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2</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In caso di mancato rispetto del termine di 35 giorni di cui al punto precedente per la stipula del contratto, ricorre una delle ipotesi di cui all’art. 32, comma 10 del D.lgs. 50/2016?</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highlight w:val="yellow"/>
                <w:lang w:eastAsia="it-IT"/>
              </w:rPr>
            </w:pPr>
            <w:r>
              <w:rPr>
                <w:rFonts w:eastAsia="Times New Roman" w:cs="Calibri" w:cstheme="minorHAnsi"/>
                <w:b/>
                <w:bCs/>
                <w:color w:val="000000"/>
                <w:highlight w:val="yellow"/>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aggiudicazione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highlight w:val="yellow"/>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Altro</w:t>
            </w:r>
          </w:p>
        </w:tc>
      </w:tr>
      <w:tr>
        <w:trPr>
          <w:trHeight w:val="1172"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3</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L’eventuale esecuzione anticipata del contratto nei casi di urgenza è avvenuta su richiesta della stazione appaltante nei modi e alle condizioni previste al comma 8 dell’art.32, del D.lgs 50/2016</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aggiudicazione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Altro</w:t>
            </w:r>
          </w:p>
        </w:tc>
      </w:tr>
      <w:tr>
        <w:trPr>
          <w:trHeight w:val="834"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4</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Il contratto è stato sottoposto alla condizione sospensiva dell’esito positivo dell’eventuale approvazione e degli altri controlli previsti dalle norme proprie delle stazioni appaltanti</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aggiudicazione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Altro</w:t>
            </w:r>
          </w:p>
        </w:tc>
      </w:tr>
      <w:tr>
        <w:trPr>
          <w:trHeight w:val="834"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5</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Il contratto di appalto di importo pari o superiore alle soglie comunitarie di cui all’art. 35 del D. lgs.50/2016 è stato stipulato dopo aver acquisito l’informativa antimafia?</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Comunicazione antimafia</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Richiesta comunicazione antimafia</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Autocertificazione</w:t>
            </w:r>
          </w:p>
        </w:tc>
      </w:tr>
      <w:tr>
        <w:trPr>
          <w:trHeight w:val="821"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6</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Il contratto è stato stipulato successivamente all’acquisizione di:</w:t>
            </w:r>
          </w:p>
          <w:p>
            <w:pPr>
              <w:pStyle w:val="ListParagraph"/>
              <w:widowControl w:val="false"/>
              <w:numPr>
                <w:ilvl w:val="0"/>
                <w:numId w:val="1"/>
              </w:numPr>
              <w:spacing w:lineRule="auto" w:line="240" w:before="0" w:after="0"/>
              <w:contextualSpacing/>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 xml:space="preserve"> </w:t>
            </w:r>
            <w:r>
              <w:rPr>
                <w:rFonts w:eastAsia="Times New Roman" w:cs="Calibri" w:cstheme="minorHAnsi"/>
                <w:color w:val="000000"/>
                <w:sz w:val="18"/>
                <w:szCs w:val="18"/>
                <w:lang w:eastAsia="it-IT"/>
              </w:rPr>
              <w:t>Certificati della Camera di Commercio;</w:t>
            </w:r>
          </w:p>
          <w:p>
            <w:pPr>
              <w:pStyle w:val="ListParagraph"/>
              <w:widowControl w:val="false"/>
              <w:numPr>
                <w:ilvl w:val="0"/>
                <w:numId w:val="1"/>
              </w:numPr>
              <w:spacing w:lineRule="auto" w:line="240" w:before="0" w:after="0"/>
              <w:contextualSpacing/>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 xml:space="preserve"> </w:t>
            </w:r>
            <w:r>
              <w:rPr>
                <w:rFonts w:eastAsia="Times New Roman" w:cs="Calibri" w:cstheme="minorHAnsi"/>
                <w:color w:val="000000"/>
                <w:sz w:val="18"/>
                <w:szCs w:val="18"/>
                <w:lang w:eastAsia="it-IT"/>
              </w:rPr>
              <w:t>Casellario giudiziale;</w:t>
            </w:r>
          </w:p>
          <w:p>
            <w:pPr>
              <w:pStyle w:val="ListParagraph"/>
              <w:widowControl w:val="false"/>
              <w:numPr>
                <w:ilvl w:val="0"/>
                <w:numId w:val="1"/>
              </w:numPr>
              <w:spacing w:lineRule="auto" w:line="240" w:before="0" w:after="0"/>
              <w:contextualSpacing/>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 xml:space="preserve"> </w:t>
            </w:r>
            <w:r>
              <w:rPr>
                <w:rFonts w:eastAsia="Times New Roman" w:cs="Calibri" w:cstheme="minorHAnsi"/>
                <w:color w:val="000000"/>
                <w:sz w:val="18"/>
                <w:szCs w:val="18"/>
                <w:lang w:eastAsia="it-IT"/>
              </w:rPr>
              <w:t>DURC;</w:t>
            </w:r>
          </w:p>
          <w:p>
            <w:pPr>
              <w:pStyle w:val="ListParagraph"/>
              <w:widowControl w:val="false"/>
              <w:numPr>
                <w:ilvl w:val="0"/>
                <w:numId w:val="1"/>
              </w:numPr>
              <w:spacing w:lineRule="auto" w:line="240" w:before="0" w:after="0"/>
              <w:contextualSpacing/>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Informativa antimafia per contratti superiori alla soglia comunitaria (IVA esclusa);</w:t>
            </w:r>
          </w:p>
          <w:p>
            <w:pPr>
              <w:pStyle w:val="ListParagraph"/>
              <w:widowControl w:val="false"/>
              <w:numPr>
                <w:ilvl w:val="0"/>
                <w:numId w:val="1"/>
              </w:numPr>
              <w:spacing w:lineRule="auto" w:line="240" w:before="0" w:after="0"/>
              <w:contextualSpacing/>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Comunicazione antimafia per contratti di importo superiore a 150.000,00€ ma inferiore alla soglia comunitaria (IVA esclusa)</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Certificato Camera di Commercio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Casellario giudiziale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DURC</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Informativa antimafia in corso di validità</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Comunicazione antimafia in corso di validità</w:t>
            </w:r>
          </w:p>
        </w:tc>
      </w:tr>
      <w:tr>
        <w:trPr>
          <w:trHeight w:val="840"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7</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Il contratto è stato stipulato secondo le forme e modalità previste dall’art. 32, comma 14 del D. lgs 50/2016 e firmato da soggetti con poteri di firma?</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Atto di aggiudicazione</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Procura</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Camera di Commercio</w:t>
            </w:r>
          </w:p>
        </w:tc>
      </w:tr>
      <w:tr>
        <w:trPr>
          <w:trHeight w:val="1185"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8</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 xml:space="preserve">Nel contratto è stato precisato che il pagamento delle spese sostenute dal soggetto attuatore viene effettuato con risorse del Fondo di Rotazione per l'attuazione dell’iniziativa </w:t>
            </w:r>
            <w:r>
              <w:rPr>
                <w:rFonts w:eastAsia="Times New Roman" w:cs="Calibri" w:cstheme="minorHAnsi"/>
                <w:i/>
                <w:iCs/>
                <w:color w:val="000000"/>
                <w:sz w:val="18"/>
                <w:szCs w:val="18"/>
                <w:lang w:eastAsia="it-IT"/>
              </w:rPr>
              <w:t>Next Generation EU</w:t>
            </w:r>
            <w:r>
              <w:rPr>
                <w:rFonts w:eastAsia="Times New Roman" w:cs="Calibri" w:cstheme="minorHAnsi"/>
                <w:color w:val="000000"/>
                <w:sz w:val="18"/>
                <w:szCs w:val="18"/>
                <w:lang w:eastAsia="it-IT"/>
              </w:rPr>
              <w:t xml:space="preserve"> – Italia?</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tc>
      </w:tr>
      <w:tr>
        <w:trPr>
          <w:trHeight w:val="1140"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9</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Il periodo di vigenza del contratto è coerente rispetto alla tempistica indicata nel progetto/investimento/riforma e la spesa ad esso relativa rientra tra le tipologie ammissibili secondo la normativa comunitaria e nazionale?</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Scheda progetto/investimento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Linee guida ammissibilità</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tc>
      </w:tr>
      <w:tr>
        <w:trPr>
          <w:trHeight w:val="1417"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10</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18"/>
                <w:szCs w:val="18"/>
                <w:lang w:eastAsia="it-IT"/>
              </w:rPr>
            </w:pPr>
            <w:r>
              <w:rPr>
                <w:rFonts w:eastAsia="Times New Roman" w:cs="Calibri" w:cstheme="minorHAnsi"/>
                <w:color w:val="000000"/>
                <w:sz w:val="18"/>
                <w:szCs w:val="18"/>
                <w:lang w:eastAsia="it-IT"/>
              </w:rPr>
              <w:t>E’ stata costituita la “garanzia definitiva”, nel pieno rispetto di quanto previsto all’ art. 103 del D. Lgs. 50/2016 e ove pertinente la “garanzia di buon adempimento” e la “garanzia per la risoluzione” nel pieno rispetto di quanto previsto all’ art. 104 del D. Lgs. 50/2016?</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Garanzia fideiussoria</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tc>
      </w:tr>
      <w:tr>
        <w:trPr>
          <w:trHeight w:val="605"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11</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Nel contratto di appalto, subappalto e in quelli stipulati con i subcontraenti della filiera delle imprese a qualsiasi titolo interessate è stata prevista un’apposita clausola con la quale l’appaltatore si assume gli obblighi di tracciabilità dei flussi finanziari dì cui alla legge 136/2010?</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tc>
      </w:tr>
      <w:tr>
        <w:trPr>
          <w:trHeight w:val="680" w:hRule="atLeast"/>
        </w:trPr>
        <w:tc>
          <w:tcPr>
            <w:tcW w:w="486"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jc w:val="center"/>
              <w:rPr>
                <w:rFonts w:eastAsia="Times New Roman" w:cs="Calibri" w:cstheme="minorHAnsi"/>
                <w:b/>
                <w:b/>
                <w:bCs/>
                <w:sz w:val="20"/>
                <w:szCs w:val="20"/>
                <w:lang w:eastAsia="it-IT"/>
              </w:rPr>
            </w:pPr>
            <w:r>
              <w:rPr>
                <w:rFonts w:eastAsia="Times New Roman" w:cs="Calibri" w:cstheme="minorHAnsi"/>
                <w:b/>
                <w:bCs/>
                <w:sz w:val="20"/>
                <w:szCs w:val="20"/>
                <w:lang w:eastAsia="it-IT"/>
              </w:rPr>
              <w:t>E</w:t>
            </w:r>
          </w:p>
        </w:tc>
        <w:tc>
          <w:tcPr>
            <w:tcW w:w="6723" w:type="dxa"/>
            <w:gridSpan w:val="5"/>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rPr>
                <w:rFonts w:eastAsia="Times New Roman" w:cs="Calibri" w:cstheme="minorHAnsi"/>
                <w:b/>
                <w:b/>
                <w:bCs/>
                <w:sz w:val="20"/>
                <w:szCs w:val="20"/>
                <w:lang w:eastAsia="it-IT"/>
              </w:rPr>
            </w:pPr>
            <w:r>
              <w:rPr>
                <w:rFonts w:eastAsia="Times New Roman" w:cs="Calibri" w:cstheme="minorHAnsi"/>
                <w:b/>
                <w:bCs/>
                <w:sz w:val="20"/>
                <w:szCs w:val="20"/>
                <w:lang w:eastAsia="it-IT"/>
              </w:rPr>
              <w:t>Verifica del rispetto della normativa appalti: esecuzione del contratto</w:t>
            </w:r>
          </w:p>
        </w:tc>
        <w:tc>
          <w:tcPr>
            <w:tcW w:w="3208"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240" w:before="0" w:after="0"/>
              <w:rPr>
                <w:rFonts w:eastAsia="Times New Roman" w:cs="Calibri" w:cstheme="minorHAnsi"/>
                <w:b/>
                <w:b/>
                <w:bCs/>
                <w:sz w:val="16"/>
                <w:szCs w:val="16"/>
                <w:lang w:eastAsia="it-IT"/>
              </w:rPr>
            </w:pPr>
            <w:r>
              <w:rPr>
                <w:rFonts w:eastAsia="Times New Roman" w:cs="Calibri" w:cstheme="minorHAnsi"/>
                <w:b/>
                <w:bCs/>
                <w:sz w:val="16"/>
                <w:szCs w:val="16"/>
                <w:lang w:eastAsia="it-IT"/>
              </w:rPr>
            </w:r>
          </w:p>
        </w:tc>
      </w:tr>
      <w:tr>
        <w:trPr>
          <w:trHeight w:val="795"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1</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18"/>
                <w:szCs w:val="18"/>
                <w:lang w:eastAsia="it-IT"/>
              </w:rPr>
            </w:pPr>
            <w:r>
              <w:rPr>
                <w:rFonts w:eastAsia="Times New Roman" w:cs="Calibri" w:cstheme="minorHAnsi"/>
                <w:color w:val="000000"/>
                <w:sz w:val="18"/>
                <w:szCs w:val="18"/>
                <w:lang w:eastAsia="it-IT"/>
              </w:rPr>
              <w:t>E’ stata rispettato quanto previsto all’ art. 105 del D. Lgs. 50/2016 in merito al subappalto?</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Bando di gara</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tc>
      </w:tr>
      <w:tr>
        <w:trPr>
          <w:trHeight w:val="605"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2</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E’ stata rispettato quanto previsto all’ art. 106 del D. Lgs. 50/2016 in merito alle varianti?</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Contratto</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t xml:space="preserve">• </w:t>
            </w:r>
            <w:r>
              <w:rPr>
                <w:rFonts w:eastAsia="Times New Roman" w:cs="Calibri" w:cstheme="minorHAnsi"/>
                <w:color w:val="000000"/>
                <w:sz w:val="16"/>
                <w:szCs w:val="16"/>
                <w:lang w:eastAsia="it-IT"/>
              </w:rPr>
              <w:t>Atti sulle varianti</w:t>
            </w:r>
          </w:p>
          <w:p>
            <w:pPr>
              <w:pStyle w:val="Normal"/>
              <w:widowControl w:val="false"/>
              <w:spacing w:lineRule="auto" w:line="240" w:before="0" w:after="0"/>
              <w:rPr>
                <w:rFonts w:eastAsia="Times New Roman" w:cs="Calibri" w:cstheme="minorHAnsi"/>
                <w:color w:val="000000"/>
                <w:sz w:val="16"/>
                <w:szCs w:val="16"/>
                <w:lang w:eastAsia="it-IT"/>
              </w:rPr>
            </w:pPr>
            <w:r>
              <w:rPr>
                <w:rFonts w:eastAsia="Times New Roman" w:cs="Calibri" w:cstheme="minorHAnsi"/>
                <w:color w:val="000000"/>
                <w:sz w:val="16"/>
                <w:szCs w:val="16"/>
                <w:lang w:eastAsia="it-IT"/>
              </w:rPr>
            </w:r>
          </w:p>
        </w:tc>
      </w:tr>
      <w:tr>
        <w:trPr>
          <w:trHeight w:val="605"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olor w:val="000000"/>
                <w:lang w:eastAsia="it-IT"/>
              </w:rPr>
            </w:pPr>
            <w:r>
              <w:rPr>
                <w:rFonts w:eastAsia="Times New Roman"/>
                <w:color w:val="000000" w:themeColor="text1"/>
                <w:lang w:eastAsia="it-IT"/>
              </w:rPr>
              <w:t>3</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18"/>
                <w:szCs w:val="18"/>
                <w:lang w:eastAsia="it-IT"/>
              </w:rPr>
            </w:pPr>
            <w:r>
              <w:rPr>
                <w:rFonts w:eastAsia="Times New Roman" w:cs="Calibri" w:cstheme="minorHAnsi"/>
                <w:sz w:val="18"/>
                <w:szCs w:val="18"/>
                <w:lang w:eastAsia="it-IT"/>
              </w:rPr>
              <w:t>Nel caso di subappalto è stato individuato il titolare effettivo?</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r>
      <w:tr>
        <w:trPr>
          <w:trHeight w:val="605"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olor w:val="000000"/>
                <w:lang w:eastAsia="it-IT"/>
              </w:rPr>
            </w:pPr>
            <w:r>
              <w:rPr>
                <w:rFonts w:eastAsia="Times New Roman"/>
                <w:color w:val="000000" w:themeColor="text1"/>
                <w:lang w:eastAsia="it-IT"/>
              </w:rPr>
              <w:t>4</w:t>
            </w:r>
          </w:p>
        </w:tc>
        <w:tc>
          <w:tcPr>
            <w:tcW w:w="38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18"/>
                <w:szCs w:val="18"/>
                <w:lang w:eastAsia="it-IT"/>
              </w:rPr>
            </w:pPr>
            <w:r>
              <w:rPr>
                <w:rFonts w:eastAsia="Times New Roman" w:cs="Calibri" w:cstheme="minorHAnsi"/>
                <w:sz w:val="18"/>
                <w:szCs w:val="18"/>
                <w:lang w:eastAsia="it-IT"/>
              </w:rPr>
              <w:t>Nel contratto di appalto, subappalto e in quelli stipulati con i subcontraenti della filiera delle imprese a qualsiasi titolo interessate è stata prevista un’apposita clausola con la quale l’appaltatore si assume gli obblighi di tracciabilità dei flussi finanziari dì cui alla legge 136/2010?</w:t>
            </w:r>
          </w:p>
        </w:tc>
        <w:tc>
          <w:tcPr>
            <w:tcW w:w="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color w:val="000000"/>
                <w:lang w:eastAsia="it-IT"/>
              </w:rPr>
            </w:pPr>
            <w:r>
              <w:rPr>
                <w:rFonts w:eastAsia="Times New Roman" w:cs="Calibri" w:cstheme="minorHAnsi"/>
                <w:b/>
                <w:bCs/>
                <w:color w:val="000000"/>
                <w:lang w:eastAsia="it-IT"/>
              </w:rPr>
            </w:r>
          </w:p>
        </w:tc>
        <w:tc>
          <w:tcPr>
            <w:tcW w:w="3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color w:val="000000"/>
                <w:lang w:eastAsia="it-IT"/>
              </w:rPr>
            </w:pPr>
            <w:r>
              <w:rPr>
                <w:rFonts w:eastAsia="Times New Roman" w:cs="Calibri" w:cstheme="minorHAnsi"/>
                <w:color w:val="000000"/>
                <w:lang w:eastAsia="it-IT"/>
              </w:rPr>
            </w:r>
          </w:p>
        </w:tc>
      </w:tr>
    </w:tbl>
    <w:p>
      <w:pPr>
        <w:pStyle w:val="Normal"/>
        <w:rPr/>
      </w:pPr>
      <w:r>
        <w:rPr/>
      </w:r>
    </w:p>
    <w:p>
      <w:pPr>
        <w:pStyle w:val="Normal"/>
        <w:rPr/>
      </w:pPr>
      <w:r>
        <w:rPr/>
      </w:r>
    </w:p>
    <w:tbl>
      <w:tblPr>
        <w:tblW w:w="50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6644"/>
        <w:gridCol w:w="455"/>
        <w:gridCol w:w="3367"/>
      </w:tblGrid>
      <w:tr>
        <w:trPr>
          <w:trHeight w:val="600" w:hRule="atLeast"/>
        </w:trPr>
        <w:tc>
          <w:tcPr>
            <w:tcW w:w="10466" w:type="dxa"/>
            <w:gridSpan w:val="3"/>
            <w:tcBorders>
              <w:top w:val="single" w:sz="8" w:space="0" w:color="000000"/>
              <w:left w:val="single" w:sz="8" w:space="0" w:color="000000"/>
              <w:bottom w:val="single" w:sz="4" w:space="0" w:color="000000"/>
              <w:right w:val="single" w:sz="8" w:space="0" w:color="000000"/>
            </w:tcBorders>
            <w:shd w:color="000000" w:fill="B8CCE4" w:val="clear"/>
            <w:vAlign w:val="center"/>
          </w:tcPr>
          <w:p>
            <w:pPr>
              <w:pStyle w:val="Normal"/>
              <w:widowControl w:val="false"/>
              <w:spacing w:lineRule="auto" w:line="240" w:before="0" w:after="0"/>
              <w:jc w:val="center"/>
              <w:rPr>
                <w:rFonts w:eastAsia="Times New Roman" w:cs="Calibri" w:cstheme="minorHAnsi"/>
                <w:b/>
                <w:b/>
                <w:bCs/>
                <w:lang w:eastAsia="it-IT"/>
              </w:rPr>
            </w:pPr>
            <w:r>
              <w:rPr>
                <w:rFonts w:eastAsia="Times New Roman" w:cs="Calibri" w:cstheme="minorHAnsi"/>
                <w:b/>
                <w:bCs/>
                <w:lang w:eastAsia="it-IT"/>
              </w:rPr>
              <w:t>ESITI</w:t>
            </w:r>
          </w:p>
        </w:tc>
      </w:tr>
      <w:tr>
        <w:trPr>
          <w:trHeight w:val="340" w:hRule="exact"/>
        </w:trPr>
        <w:tc>
          <w:tcPr>
            <w:tcW w:w="6644" w:type="dxa"/>
            <w:vMerge w:val="restart"/>
            <w:tcBorders>
              <w:top w:val="single" w:sz="4" w:space="0" w:color="000000"/>
              <w:left w:val="single" w:sz="8" w:space="0" w:color="000000"/>
              <w:bottom w:val="single" w:sz="8" w:space="0" w:color="000000"/>
              <w:right w:val="single" w:sz="4" w:space="0" w:color="000000"/>
            </w:tcBorders>
            <w:shd w:color="000000" w:fill="FFFFFF" w:val="clear"/>
            <w:vAlign w:val="center"/>
          </w:tcPr>
          <w:p>
            <w:pPr>
              <w:pStyle w:val="Normal"/>
              <w:widowControl w:val="false"/>
              <w:spacing w:lineRule="auto" w:line="240" w:before="0" w:after="0"/>
              <w:jc w:val="center"/>
              <w:rPr>
                <w:rFonts w:eastAsia="Times New Roman" w:cs="Calibri" w:cstheme="minorHAnsi"/>
                <w:b/>
                <w:b/>
                <w:bCs/>
                <w:color w:val="000000"/>
                <w:lang w:eastAsia="it-IT"/>
              </w:rPr>
            </w:pPr>
            <w:r>
              <w:rPr>
                <w:rFonts w:eastAsia="Times New Roman" w:cs="Calibri" w:cstheme="minorHAnsi"/>
                <w:b/>
                <w:bCs/>
                <w:color w:val="000000"/>
                <w:lang w:eastAsia="it-IT"/>
              </w:rPr>
              <w:t>Esito del controllo:</w:t>
            </w:r>
          </w:p>
        </w:tc>
        <w:tc>
          <w:tcPr>
            <w:tcW w:w="45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w:t>
            </w:r>
          </w:p>
        </w:tc>
        <w:tc>
          <w:tcPr>
            <w:tcW w:w="3367" w:type="dxa"/>
            <w:tcBorders>
              <w:bottom w:val="single" w:sz="4" w:space="0" w:color="000000"/>
              <w:right w:val="single" w:sz="8" w:space="0" w:color="000000"/>
            </w:tcBorders>
            <w:shd w:color="000000" w:fill="FFFFFF" w:val="clear"/>
            <w:vAlign w:val="center"/>
          </w:tcPr>
          <w:p>
            <w:pPr>
              <w:pStyle w:val="Normal"/>
              <w:widowControl w:val="false"/>
              <w:spacing w:lineRule="auto" w:line="240" w:before="0" w:after="0"/>
              <w:jc w:val="center"/>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POSITIVO</w:t>
            </w:r>
          </w:p>
        </w:tc>
      </w:tr>
      <w:tr>
        <w:trPr>
          <w:trHeight w:val="340" w:hRule="exact"/>
        </w:trPr>
        <w:tc>
          <w:tcPr>
            <w:tcW w:w="6644" w:type="dxa"/>
            <w:vMerge w:val="continue"/>
            <w:tcBorders>
              <w:top w:val="single" w:sz="4" w:space="0" w:color="000000"/>
              <w:left w:val="single" w:sz="8" w:space="0" w:color="000000"/>
              <w:bottom w:val="single" w:sz="8" w:space="0" w:color="000000"/>
              <w:right w:val="single" w:sz="4" w:space="0" w:color="000000"/>
            </w:tcBorders>
            <w:shd w:color="000000" w:fill="FFFFFF" w:val="clear"/>
            <w:vAlign w:val="center"/>
          </w:tcPr>
          <w:p>
            <w:pPr>
              <w:pStyle w:val="Normal"/>
              <w:widowControl w:val="false"/>
              <w:spacing w:lineRule="auto" w:line="240" w:before="0" w:after="0"/>
              <w:jc w:val="center"/>
              <w:rPr>
                <w:rFonts w:eastAsia="Times New Roman" w:cs="Calibri" w:cstheme="minorHAnsi"/>
                <w:b/>
                <w:b/>
                <w:bCs/>
                <w:color w:val="000000"/>
                <w:lang w:eastAsia="it-IT"/>
              </w:rPr>
            </w:pPr>
            <w:r>
              <w:rPr>
                <w:rFonts w:eastAsia="Times New Roman" w:cs="Calibri" w:cstheme="minorHAnsi"/>
                <w:b/>
                <w:bCs/>
                <w:color w:val="000000"/>
                <w:lang w:eastAsia="it-IT"/>
              </w:rPr>
            </w:r>
          </w:p>
        </w:tc>
        <w:tc>
          <w:tcPr>
            <w:tcW w:w="45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w:t>
            </w:r>
          </w:p>
        </w:tc>
        <w:tc>
          <w:tcPr>
            <w:tcW w:w="3367" w:type="dxa"/>
            <w:tcBorders>
              <w:bottom w:val="single" w:sz="4" w:space="0" w:color="000000"/>
              <w:right w:val="single" w:sz="8" w:space="0" w:color="000000"/>
            </w:tcBorders>
            <w:shd w:color="000000" w:fill="FFFFFF" w:val="clear"/>
            <w:vAlign w:val="center"/>
          </w:tcPr>
          <w:p>
            <w:pPr>
              <w:pStyle w:val="Normal"/>
              <w:widowControl w:val="false"/>
              <w:spacing w:lineRule="auto" w:line="240" w:before="0" w:after="0"/>
              <w:jc w:val="center"/>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PARZIALMENTE POSITIVO</w:t>
            </w:r>
          </w:p>
        </w:tc>
      </w:tr>
      <w:tr>
        <w:trPr>
          <w:trHeight w:val="340" w:hRule="exact"/>
        </w:trPr>
        <w:tc>
          <w:tcPr>
            <w:tcW w:w="6644" w:type="dxa"/>
            <w:vMerge w:val="continue"/>
            <w:tcBorders>
              <w:top w:val="single" w:sz="4" w:space="0" w:color="000000"/>
              <w:left w:val="single" w:sz="8" w:space="0" w:color="000000"/>
              <w:bottom w:val="single" w:sz="8" w:space="0" w:color="000000"/>
              <w:right w:val="single" w:sz="4" w:space="0" w:color="000000"/>
            </w:tcBorders>
            <w:vAlign w:val="center"/>
          </w:tcPr>
          <w:p>
            <w:pPr>
              <w:pStyle w:val="Normal"/>
              <w:widowControl w:val="false"/>
              <w:spacing w:lineRule="auto" w:line="240" w:before="0" w:after="0"/>
              <w:jc w:val="center"/>
              <w:rPr>
                <w:rFonts w:eastAsia="Times New Roman" w:cs="Calibri" w:cstheme="minorHAnsi"/>
                <w:b/>
                <w:b/>
                <w:bCs/>
                <w:color w:val="000000"/>
                <w:lang w:eastAsia="it-IT"/>
              </w:rPr>
            </w:pPr>
            <w:r>
              <w:rPr>
                <w:rFonts w:eastAsia="Times New Roman" w:cs="Calibri" w:cstheme="minorHAnsi"/>
                <w:b/>
                <w:bCs/>
                <w:color w:val="000000"/>
                <w:lang w:eastAsia="it-IT"/>
              </w:rPr>
            </w:r>
          </w:p>
        </w:tc>
        <w:tc>
          <w:tcPr>
            <w:tcW w:w="455" w:type="dxa"/>
            <w:tcBorders>
              <w:bottom w:val="single" w:sz="8" w:space="0" w:color="000000"/>
              <w:right w:val="single" w:sz="4" w:space="0" w:color="000000"/>
            </w:tcBorders>
            <w:shd w:color="000000" w:fill="FFFFFF" w:val="clear"/>
            <w:vAlign w:val="center"/>
          </w:tcPr>
          <w:p>
            <w:pPr>
              <w:pStyle w:val="Normal"/>
              <w:widowControl w:val="false"/>
              <w:spacing w:lineRule="auto" w:line="240" w:before="0" w:after="0"/>
              <w:jc w:val="center"/>
              <w:rPr>
                <w:rFonts w:eastAsia="Times New Roman" w:cs="Calibri" w:cstheme="minorHAnsi"/>
                <w:color w:val="000000"/>
                <w:lang w:eastAsia="it-IT"/>
              </w:rPr>
            </w:pPr>
            <w:r>
              <w:rPr>
                <w:rFonts w:eastAsia="Times New Roman" w:cs="Calibri" w:cstheme="minorHAnsi"/>
                <w:color w:val="000000"/>
                <w:lang w:eastAsia="it-IT"/>
              </w:rPr>
              <w:t>□</w:t>
            </w:r>
          </w:p>
        </w:tc>
        <w:tc>
          <w:tcPr>
            <w:tcW w:w="3367" w:type="dxa"/>
            <w:tcBorders>
              <w:bottom w:val="single" w:sz="8" w:space="0" w:color="000000"/>
              <w:right w:val="single" w:sz="8" w:space="0" w:color="000000"/>
            </w:tcBorders>
            <w:shd w:color="000000" w:fill="FFFFFF" w:val="clear"/>
            <w:vAlign w:val="center"/>
          </w:tcPr>
          <w:p>
            <w:pPr>
              <w:pStyle w:val="Normal"/>
              <w:widowControl w:val="false"/>
              <w:spacing w:lineRule="auto" w:line="240" w:before="0" w:after="0"/>
              <w:jc w:val="center"/>
              <w:rPr>
                <w:rFonts w:eastAsia="Times New Roman" w:cs="Calibri" w:cstheme="minorHAnsi"/>
                <w:color w:val="000000"/>
                <w:sz w:val="18"/>
                <w:szCs w:val="18"/>
                <w:lang w:eastAsia="it-IT"/>
              </w:rPr>
            </w:pPr>
            <w:r>
              <w:rPr>
                <w:rFonts w:eastAsia="Times New Roman" w:cs="Calibri" w:cstheme="minorHAnsi"/>
                <w:color w:val="000000"/>
                <w:sz w:val="18"/>
                <w:szCs w:val="18"/>
                <w:lang w:eastAsia="it-IT"/>
              </w:rPr>
              <w:t>NEGATIVO</w:t>
            </w:r>
          </w:p>
        </w:tc>
      </w:tr>
    </w:tbl>
    <w:p>
      <w:pPr>
        <w:pStyle w:val="Normal"/>
        <w:rPr>
          <w:rFonts w:cs="Calibri" w:cstheme="minorHAnsi"/>
        </w:rPr>
      </w:pPr>
      <w:r>
        <w:rPr>
          <w:rFonts w:cs="Calibri" w:cstheme="minorHAnsi"/>
        </w:rPr>
      </w:r>
    </w:p>
    <w:tbl>
      <w:tblPr>
        <w:tblW w:w="50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10466"/>
      </w:tblGrid>
      <w:tr>
        <w:trPr>
          <w:trHeight w:val="600" w:hRule="atLeast"/>
        </w:trPr>
        <w:tc>
          <w:tcPr>
            <w:tcW w:w="10466" w:type="dxa"/>
            <w:tcBorders>
              <w:top w:val="single" w:sz="8" w:space="0" w:color="000000"/>
              <w:left w:val="single" w:sz="8" w:space="0" w:color="000000"/>
              <w:bottom w:val="single" w:sz="4" w:space="0" w:color="000000"/>
              <w:right w:val="single" w:sz="8" w:space="0" w:color="000000"/>
            </w:tcBorders>
            <w:shd w:color="000000" w:fill="B8CCE4" w:val="clear"/>
            <w:vAlign w:val="center"/>
          </w:tcPr>
          <w:p>
            <w:pPr>
              <w:pStyle w:val="Normal"/>
              <w:widowControl w:val="false"/>
              <w:spacing w:lineRule="auto" w:line="240" w:before="0" w:after="0"/>
              <w:jc w:val="center"/>
              <w:rPr>
                <w:rFonts w:eastAsia="Times New Roman" w:cs="Calibri" w:cstheme="minorHAnsi"/>
                <w:b/>
                <w:b/>
                <w:bCs/>
                <w:highlight w:val="yellow"/>
                <w:lang w:eastAsia="it-IT"/>
              </w:rPr>
            </w:pPr>
            <w:r>
              <w:rPr>
                <w:rFonts w:eastAsia="Times New Roman" w:cs="Calibri" w:cstheme="minorHAnsi"/>
                <w:b/>
                <w:bCs/>
                <w:lang w:eastAsia="it-IT"/>
              </w:rPr>
              <w:t>Note</w:t>
            </w:r>
          </w:p>
        </w:tc>
      </w:tr>
      <w:tr>
        <w:trPr>
          <w:trHeight w:val="528" w:hRule="exact"/>
        </w:trPr>
        <w:tc>
          <w:tcPr>
            <w:tcW w:w="10466"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highlight w:val="yellow"/>
                <w:lang w:eastAsia="it-IT"/>
              </w:rPr>
            </w:pPr>
            <w:r>
              <w:rPr>
                <w:rFonts w:eastAsia="Times New Roman" w:cs="Calibri" w:cstheme="minorHAnsi"/>
                <w:color w:val="000000"/>
                <w:highlight w:val="yellow"/>
                <w:lang w:eastAsia="it-IT"/>
              </w:rPr>
            </w:r>
          </w:p>
        </w:tc>
      </w:tr>
    </w:tbl>
    <w:p>
      <w:pPr>
        <w:pStyle w:val="Normal"/>
        <w:rPr>
          <w:rFonts w:cs="Calibri" w:cstheme="minorHAnsi"/>
        </w:rPr>
      </w:pPr>
      <w:r>
        <w:rPr>
          <w:rFonts w:cs="Calibri" w:cstheme="minorHAnsi"/>
        </w:rPr>
      </w:r>
    </w:p>
    <w:tbl>
      <w:tblPr>
        <w:tblpPr w:vertAnchor="text" w:horzAnchor="page" w:leftFromText="141" w:rightFromText="141" w:tblpX="2536" w:tblpY="25"/>
        <w:tblW w:w="4000" w:type="pct"/>
        <w:jc w:val="left"/>
        <w:tblInd w:w="70" w:type="dxa"/>
        <w:tblLayout w:type="fixed"/>
        <w:tblCellMar>
          <w:top w:w="0" w:type="dxa"/>
          <w:left w:w="70" w:type="dxa"/>
          <w:bottom w:w="0" w:type="dxa"/>
          <w:right w:w="70" w:type="dxa"/>
        </w:tblCellMar>
        <w:tblLook w:firstRow="1" w:noVBand="1" w:lastRow="0" w:firstColumn="1" w:lastColumn="0" w:noHBand="0" w:val="04a0"/>
      </w:tblPr>
      <w:tblGrid>
        <w:gridCol w:w="4550"/>
        <w:gridCol w:w="3821"/>
      </w:tblGrid>
      <w:tr>
        <w:trPr>
          <w:trHeight w:val="397" w:hRule="atLeast"/>
        </w:trPr>
        <w:tc>
          <w:tcPr>
            <w:tcW w:w="45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60"/>
              <w:rPr>
                <w:rFonts w:cs="Calibri" w:cstheme="minorHAnsi"/>
                <w:b/>
                <w:b/>
                <w:bCs/>
                <w:sz w:val="20"/>
                <w:szCs w:val="20"/>
              </w:rPr>
            </w:pPr>
            <w:r>
              <w:rPr>
                <w:rFonts w:cs="Calibri" w:cstheme="minorHAnsi"/>
                <w:b/>
                <w:bCs/>
                <w:sz w:val="20"/>
                <w:szCs w:val="20"/>
              </w:rPr>
              <w:t>Data e luogo del controllo:</w:t>
            </w:r>
          </w:p>
        </w:tc>
        <w:tc>
          <w:tcPr>
            <w:tcW w:w="3821"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before="0" w:after="160"/>
              <w:jc w:val="center"/>
              <w:rPr>
                <w:rFonts w:cs="Calibri" w:cstheme="minorHAnsi"/>
                <w:sz w:val="20"/>
                <w:szCs w:val="20"/>
              </w:rPr>
            </w:pPr>
            <w:r>
              <w:rPr>
                <w:rFonts w:cs="Calibri" w:cstheme="minorHAnsi"/>
                <w:sz w:val="20"/>
                <w:szCs w:val="20"/>
              </w:rPr>
              <w:t>___/___/_____</w:t>
            </w:r>
          </w:p>
        </w:tc>
      </w:tr>
      <w:tr>
        <w:trPr>
          <w:trHeight w:val="397" w:hRule="atLeast"/>
        </w:trPr>
        <w:tc>
          <w:tcPr>
            <w:tcW w:w="837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cs="Calibri" w:cstheme="minorHAnsi"/>
                <w:b/>
                <w:b/>
                <w:sz w:val="20"/>
                <w:szCs w:val="20"/>
              </w:rPr>
            </w:pPr>
            <w:r>
              <w:rPr>
                <w:rFonts w:cs="Calibri" w:cstheme="minorHAnsi"/>
                <w:b/>
                <w:sz w:val="20"/>
                <w:szCs w:val="20"/>
              </w:rPr>
              <w:t>Incaricato del controllo: _______________________________________Firma</w:t>
            </w:r>
          </w:p>
        </w:tc>
      </w:tr>
      <w:tr>
        <w:trPr>
          <w:trHeight w:val="397" w:hRule="atLeast"/>
        </w:trPr>
        <w:tc>
          <w:tcPr>
            <w:tcW w:w="837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cs="Calibri" w:cstheme="minorHAnsi"/>
                <w:b/>
                <w:b/>
                <w:sz w:val="20"/>
                <w:szCs w:val="20"/>
              </w:rPr>
            </w:pPr>
            <w:r>
              <w:rPr>
                <w:rFonts w:cs="Calibri" w:cstheme="minorHAnsi"/>
                <w:b/>
                <w:sz w:val="20"/>
                <w:szCs w:val="20"/>
              </w:rPr>
              <w:t>Responsabile del controllo: ____________________________________Firma</w:t>
            </w:r>
          </w:p>
        </w:tc>
      </w:tr>
    </w:tbl>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spacing w:before="0" w:after="160"/>
        <w:rPr>
          <w:rFonts w:ascii="Garamond" w:hAnsi="Garamond"/>
        </w:rPr>
      </w:pPr>
      <w:r>
        <w:rPr/>
      </w:r>
    </w:p>
    <w:sectPr>
      <w:headerReference w:type="default" r:id="rId2"/>
      <w:footerReference w:type="default" r:id="rId3"/>
      <w:footnotePr>
        <w:numFmt w:val="decimal"/>
      </w:footnotePr>
      <w:type w:val="nextPage"/>
      <w:pgSz w:w="11906" w:h="16838"/>
      <w:pgMar w:left="720" w:right="720" w:header="708" w:top="198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 w:name="Garamond">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rFonts w:ascii="Garamond" w:hAnsi="Garamond"/>
        <w:sz w:val="20"/>
        <w:szCs w:val="20"/>
      </w:rPr>
    </w:pPr>
    <w:r>
      <w:rPr>
        <w:rFonts w:ascii="Garamond" w:hAnsi="Garamond"/>
        <w:sz w:val="20"/>
        <w:szCs w:val="20"/>
      </w:rPr>
      <w:fldChar w:fldCharType="begin"/>
    </w:r>
    <w:r>
      <w:rPr>
        <w:sz w:val="20"/>
        <w:szCs w:val="20"/>
        <w:rFonts w:ascii="Garamond" w:hAnsi="Garamond"/>
      </w:rPr>
      <w:instrText> PAGE </w:instrText>
    </w:r>
    <w:r>
      <w:rPr>
        <w:sz w:val="20"/>
        <w:szCs w:val="20"/>
        <w:rFonts w:ascii="Garamond" w:hAnsi="Garamond"/>
      </w:rPr>
      <w:fldChar w:fldCharType="separate"/>
    </w:r>
    <w:r>
      <w:rPr>
        <w:sz w:val="20"/>
        <w:szCs w:val="20"/>
        <w:rFonts w:ascii="Garamond" w:hAnsi="Garamond"/>
      </w:rPr>
      <w:t>6</w:t>
    </w:r>
    <w:r>
      <w:rPr>
        <w:sz w:val="20"/>
        <w:szCs w:val="20"/>
        <w:rFonts w:ascii="Garamond" w:hAnsi="Garamond"/>
      </w:rPr>
      <w:fldChar w:fldCharType="end"/>
    </w:r>
  </w:p>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aapidipagina"/>
        <w:widowControl w:val="false"/>
        <w:rPr>
          <w:rFonts w:cs="Calibri" w:cstheme="minorHAnsi"/>
          <w:sz w:val="16"/>
          <w:szCs w:val="16"/>
        </w:rPr>
      </w:pPr>
      <w:r>
        <w:rPr>
          <w:rStyle w:val="Caratterinotaapidipagina"/>
        </w:rPr>
        <w:footnoteRef/>
      </w:r>
      <w:bookmarkStart w:id="0" w:name="_Hlk129171511"/>
      <w:bookmarkEnd w:id="0"/>
      <w:r>
        <w:rPr>
          <w:rFonts w:cs="Calibri" w:cstheme="minorHAnsi"/>
          <w:sz w:val="16"/>
          <w:szCs w:val="16"/>
        </w:rPr>
        <w:t>Viene indicato, laddove necessario, il contenuto della verifica rispetto allo specifico punto di controllo e, a titolo esemplificativo ma non esaustivo, la documentazione da prendere in esame per l’effettuazione del controllo.</w:t>
      </w:r>
    </w:p>
  </w:footnote>
  <w:footnote w:id="3">
    <w:p>
      <w:pPr>
        <w:pStyle w:val="Notaapidipagina"/>
        <w:widowControl w:val="false"/>
        <w:rPr/>
      </w:pPr>
      <w:r>
        <w:rPr>
          <w:rStyle w:val="Caratterinotaapidipagina"/>
        </w:rPr>
        <w:footnoteRef/>
      </w:r>
      <w:bookmarkStart w:id="1" w:name="_Hlk1291715111"/>
      <w:bookmarkEnd w:id="1"/>
      <w:r>
        <w:rPr>
          <w:rFonts w:cs="Calibri" w:cstheme="minorHAnsi"/>
          <w:sz w:val="16"/>
          <w:szCs w:val="16"/>
        </w:rPr>
        <w:t>Viene indicato, laddove necessario, il contenuto della verifica rispetto allo specifico punto di controllo e, a titolo esemplificativo ma non esaustivo, la documentazione da prendere in esame per l’effettuazione del controllo.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300" distR="114300" simplePos="0" locked="0" layoutInCell="0" allowOverlap="1" relativeHeight="13">
          <wp:simplePos x="0" y="0"/>
          <wp:positionH relativeFrom="margin">
            <wp:posOffset>57150</wp:posOffset>
          </wp:positionH>
          <wp:positionV relativeFrom="margin">
            <wp:posOffset>-971550</wp:posOffset>
          </wp:positionV>
          <wp:extent cx="4533900" cy="902335"/>
          <wp:effectExtent l="0" t="0" r="0" b="0"/>
          <wp:wrapSquare wrapText="bothSides"/>
          <wp:docPr id="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1" descr="Immagine che contiene testo&#10;&#10;Descrizione generata automaticamente"/>
                  <pic:cNvPicPr>
                    <a:picLocks noChangeAspect="1" noChangeArrowheads="1"/>
                  </pic:cNvPicPr>
                </pic:nvPicPr>
                <pic:blipFill>
                  <a:blip r:embed="rId1"/>
                  <a:srcRect l="0" t="0" r="25328" b="0"/>
                  <a:stretch>
                    <a:fillRect/>
                  </a:stretch>
                </pic:blipFill>
                <pic:spPr bwMode="auto">
                  <a:xfrm>
                    <a:off x="0" y="0"/>
                    <a:ext cx="4533900" cy="902335"/>
                  </a:xfrm>
                  <a:prstGeom prst="rect">
                    <a:avLst/>
                  </a:prstGeom>
                </pic:spPr>
              </pic:pic>
            </a:graphicData>
          </a:graphic>
        </wp:anchor>
      </w:drawing>
      <w:tab/>
    </w:r>
    <w:r>
      <w:drawing>
        <wp:anchor behindDoc="1" distT="0" distB="0" distL="114300" distR="114300" simplePos="0" locked="0" layoutInCell="0" allowOverlap="1" relativeHeight="7">
          <wp:simplePos x="0" y="0"/>
          <wp:positionH relativeFrom="margin">
            <wp:posOffset>5626735</wp:posOffset>
          </wp:positionH>
          <wp:positionV relativeFrom="margin">
            <wp:posOffset>-907415</wp:posOffset>
          </wp:positionV>
          <wp:extent cx="1080770" cy="904875"/>
          <wp:effectExtent l="0" t="0" r="0" b="0"/>
          <wp:wrapSquare wrapText="bothSides"/>
          <wp:docPr id="2" name="Immagine 2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2" descr="Immagine che contiene testo&#10;&#10;Descrizione generata automaticamente"/>
                  <pic:cNvPicPr>
                    <a:picLocks noChangeAspect="1" noChangeArrowheads="1"/>
                  </pic:cNvPicPr>
                </pic:nvPicPr>
                <pic:blipFill>
                  <a:blip r:embed="rId2"/>
                  <a:srcRect l="82196" t="-279" r="0" b="0"/>
                  <a:stretch>
                    <a:fillRect/>
                  </a:stretch>
                </pic:blipFill>
                <pic:spPr bwMode="auto">
                  <a:xfrm>
                    <a:off x="0" y="0"/>
                    <a:ext cx="1080770" cy="904875"/>
                  </a:xfrm>
                  <a:prstGeom prst="rect">
                    <a:avLst/>
                  </a:prstGeom>
                </pic:spPr>
              </pic:pic>
            </a:graphicData>
          </a:graphic>
        </wp:anchor>
      </w:drawing>
    </w:r>
    <w:r>
      <w:rPr/>
      <w:t xml:space="preserve"> </w:t>
    </w:r>
    <w:r>
      <w:rPr/>
      <w:t xml:space="preserve">      </w:t>
    </w:r>
  </w:p>
  <w:p>
    <w:pPr>
      <w:pStyle w:val="Intestazione"/>
      <w:tabs>
        <w:tab w:val="center" w:pos="4819" w:leader="none"/>
        <w:tab w:val="center" w:pos="5233" w:leader="none"/>
        <w:tab w:val="right" w:pos="9638"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720" w:hanging="360"/>
      </w:pPr>
      <w:rPr>
        <w:rFonts w:ascii="Garamond" w:hAnsi="Garamond" w:cs="Garamon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2"/>
    <w:lvlOverride w:ilvl="0">
      <w:startOverride w:val="1"/>
    </w:lvlOverride>
  </w:num>
  <w:num w:numId="7">
    <w:abstractNumId w:val="2"/>
  </w:num>
  <w:num w:numId="8">
    <w:abstractNumId w:val="2"/>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165d"/>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bb082a"/>
    <w:rPr/>
  </w:style>
  <w:style w:type="character" w:styleId="PidipaginaCarattere" w:customStyle="1">
    <w:name w:val="Piè di pagina Carattere"/>
    <w:basedOn w:val="DefaultParagraphFont"/>
    <w:link w:val="Pidipagina"/>
    <w:uiPriority w:val="99"/>
    <w:qFormat/>
    <w:rsid w:val="00bb082a"/>
    <w:rPr/>
  </w:style>
  <w:style w:type="character" w:styleId="TestofumettoCarattere" w:customStyle="1">
    <w:name w:val="Testo fumetto Carattere"/>
    <w:basedOn w:val="DefaultParagraphFont"/>
    <w:link w:val="Testofumetto"/>
    <w:uiPriority w:val="99"/>
    <w:semiHidden/>
    <w:qFormat/>
    <w:rsid w:val="00bb082a"/>
    <w:rPr>
      <w:rFonts w:ascii="Segoe UI" w:hAnsi="Segoe UI" w:cs="Segoe UI"/>
      <w:sz w:val="18"/>
      <w:szCs w:val="18"/>
    </w:rPr>
  </w:style>
  <w:style w:type="character" w:styleId="ParagrafoelencoCarattere" w:customStyle="1">
    <w:name w:val="Paragrafo elenco Carattere"/>
    <w:link w:val="Paragrafoelenco"/>
    <w:uiPriority w:val="34"/>
    <w:qFormat/>
    <w:locked/>
    <w:rsid w:val="00257a47"/>
    <w:rPr/>
  </w:style>
  <w:style w:type="character" w:styleId="Annotationreference">
    <w:name w:val="annotation reference"/>
    <w:basedOn w:val="DefaultParagraphFont"/>
    <w:uiPriority w:val="99"/>
    <w:semiHidden/>
    <w:unhideWhenUsed/>
    <w:qFormat/>
    <w:rsid w:val="00154096"/>
    <w:rPr>
      <w:sz w:val="16"/>
      <w:szCs w:val="16"/>
    </w:rPr>
  </w:style>
  <w:style w:type="character" w:styleId="TestocommentoCarattere" w:customStyle="1">
    <w:name w:val="Testo commento Carattere"/>
    <w:basedOn w:val="DefaultParagraphFont"/>
    <w:link w:val="Testocommento"/>
    <w:uiPriority w:val="99"/>
    <w:semiHidden/>
    <w:qFormat/>
    <w:rsid w:val="00154096"/>
    <w:rPr>
      <w:sz w:val="20"/>
      <w:szCs w:val="20"/>
    </w:rPr>
  </w:style>
  <w:style w:type="character" w:styleId="SoggettocommentoCarattere" w:customStyle="1">
    <w:name w:val="Soggetto commento Carattere"/>
    <w:basedOn w:val="TestocommentoCarattere"/>
    <w:link w:val="Soggettocommento"/>
    <w:uiPriority w:val="99"/>
    <w:semiHidden/>
    <w:qFormat/>
    <w:rsid w:val="00154096"/>
    <w:rPr>
      <w:b/>
      <w:bCs/>
      <w:sz w:val="20"/>
      <w:szCs w:val="20"/>
    </w:rPr>
  </w:style>
  <w:style w:type="character" w:styleId="Corpodeltesto2Carattere" w:customStyle="1">
    <w:name w:val="Corpo del testo 2 Carattere"/>
    <w:basedOn w:val="DefaultParagraphFont"/>
    <w:link w:val="Corpodeltesto2"/>
    <w:uiPriority w:val="99"/>
    <w:qFormat/>
    <w:rsid w:val="00371a70"/>
    <w:rPr>
      <w:rFonts w:ascii="Tahoma" w:hAnsi="Tahoma" w:eastAsia="Times New Roman" w:cs="Tahoma"/>
      <w:sz w:val="20"/>
      <w:szCs w:val="24"/>
      <w:lang w:eastAsia="it-IT"/>
    </w:rPr>
  </w:style>
  <w:style w:type="character" w:styleId="TestonotaapidipaginaCarattere" w:customStyle="1">
    <w:name w:val="Testo nota a piè di pagina Carattere"/>
    <w:basedOn w:val="DefaultParagraphFont"/>
    <w:link w:val="Testonotaapidipagina"/>
    <w:uiPriority w:val="99"/>
    <w:semiHidden/>
    <w:qFormat/>
    <w:rsid w:val="002a5b0d"/>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2a5b0d"/>
    <w:rPr>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b082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bb082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bb082a"/>
    <w:pPr>
      <w:spacing w:lineRule="auto" w:line="240" w:before="0" w:after="0"/>
    </w:pPr>
    <w:rPr>
      <w:rFonts w:ascii="Segoe UI" w:hAnsi="Segoe UI" w:cs="Segoe UI"/>
      <w:sz w:val="18"/>
      <w:szCs w:val="18"/>
    </w:rPr>
  </w:style>
  <w:style w:type="paragraph" w:styleId="ListParagraph">
    <w:name w:val="List Paragraph"/>
    <w:basedOn w:val="Normal"/>
    <w:link w:val="ParagrafoelencoCarattere"/>
    <w:uiPriority w:val="34"/>
    <w:qFormat/>
    <w:rsid w:val="007e407a"/>
    <w:pPr>
      <w:spacing w:before="0" w:after="160"/>
      <w:ind w:left="720" w:hanging="0"/>
      <w:contextualSpacing/>
    </w:pPr>
    <w:rPr/>
  </w:style>
  <w:style w:type="paragraph" w:styleId="Annotationtext">
    <w:name w:val="annotation text"/>
    <w:basedOn w:val="Normal"/>
    <w:link w:val="TestocommentoCarattere"/>
    <w:uiPriority w:val="99"/>
    <w:semiHidden/>
    <w:unhideWhenUsed/>
    <w:qFormat/>
    <w:rsid w:val="00154096"/>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154096"/>
    <w:pPr/>
    <w:rPr>
      <w:b/>
      <w:bCs/>
    </w:rPr>
  </w:style>
  <w:style w:type="paragraph" w:styleId="Revision">
    <w:name w:val="Revision"/>
    <w:uiPriority w:val="99"/>
    <w:semiHidden/>
    <w:qFormat/>
    <w:rsid w:val="00dc29c7"/>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it-IT" w:eastAsia="en-US" w:bidi="ar-SA"/>
    </w:rPr>
  </w:style>
  <w:style w:type="paragraph" w:styleId="BodyText2">
    <w:name w:val="Body Text 2"/>
    <w:basedOn w:val="Normal"/>
    <w:link w:val="Corpodeltesto2Carattere"/>
    <w:uiPriority w:val="99"/>
    <w:qFormat/>
    <w:rsid w:val="00371a70"/>
    <w:pPr>
      <w:spacing w:lineRule="auto" w:line="240" w:before="0" w:after="0"/>
    </w:pPr>
    <w:rPr>
      <w:rFonts w:ascii="Tahoma" w:hAnsi="Tahoma" w:eastAsia="Times New Roman" w:cs="Tahoma"/>
      <w:sz w:val="20"/>
      <w:szCs w:val="24"/>
      <w:lang w:eastAsia="it-IT"/>
    </w:rPr>
  </w:style>
  <w:style w:type="paragraph" w:styleId="Notaapidipagina">
    <w:name w:val="Footnote Text"/>
    <w:basedOn w:val="Normal"/>
    <w:link w:val="TestonotaapidipaginaCarattere"/>
    <w:uiPriority w:val="99"/>
    <w:semiHidden/>
    <w:unhideWhenUsed/>
    <w:rsid w:val="002a5b0d"/>
    <w:pPr>
      <w:spacing w:lineRule="auto" w:line="240" w:before="0" w:after="0"/>
    </w:pPr>
    <w:rPr>
      <w:sz w:val="20"/>
      <w:szCs w:val="20"/>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0a29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a7951-263f-476a-af3d-6a03047733f4">
      <Terms xmlns="http://schemas.microsoft.com/office/infopath/2007/PartnerControls"/>
    </lcf76f155ced4ddcb4097134ff3c332f>
    <TaxCatchAll xmlns="2d6b290d-032a-4eec-8572-cefcfcd49ac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6CCB8BED71E754CA04E62AD27C81834" ma:contentTypeVersion="15" ma:contentTypeDescription="Creare un nuovo documento." ma:contentTypeScope="" ma:versionID="c310eb712ebe4c3e1ee47df422dca241">
  <xsd:schema xmlns:xsd="http://www.w3.org/2001/XMLSchema" xmlns:xs="http://www.w3.org/2001/XMLSchema" xmlns:p="http://schemas.microsoft.com/office/2006/metadata/properties" xmlns:ns2="bc9a7951-263f-476a-af3d-6a03047733f4" xmlns:ns3="2d6b290d-032a-4eec-8572-cefcfcd49ace" targetNamespace="http://schemas.microsoft.com/office/2006/metadata/properties" ma:root="true" ma:fieldsID="204f1bbbdca2dd29498cba0dd31d9570" ns2:_="" ns3:_="">
    <xsd:import namespace="bc9a7951-263f-476a-af3d-6a03047733f4"/>
    <xsd:import namespace="2d6b290d-032a-4eec-8572-cefcfcd49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7951-263f-476a-af3d-6a030477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1ea8c9ea-906f-4781-a163-e2e9b2e1f72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b290d-032a-4eec-8572-cefcfcd49ac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a999fbcc-8a9b-445a-808f-1e0d3e029d21}" ma:internalName="TaxCatchAll" ma:showField="CatchAllData" ma:web="2d6b290d-032a-4eec-8572-cefcfcd49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E0E03-0338-444A-B4BB-9F0A72D5B9D7}">
  <ds:schemaRefs>
    <ds:schemaRef ds:uri="http://schemas.microsoft.com/office/2006/metadata/properties"/>
    <ds:schemaRef ds:uri="http://schemas.microsoft.com/office/infopath/2007/PartnerControls"/>
    <ds:schemaRef ds:uri="bc9a7951-263f-476a-af3d-6a03047733f4"/>
    <ds:schemaRef ds:uri="2d6b290d-032a-4eec-8572-cefcfcd49ace"/>
  </ds:schemaRefs>
</ds:datastoreItem>
</file>

<file path=customXml/itemProps2.xml><?xml version="1.0" encoding="utf-8"?>
<ds:datastoreItem xmlns:ds="http://schemas.openxmlformats.org/officeDocument/2006/customXml" ds:itemID="{54F5BBF0-B274-4084-ACCF-B2C27ACBA569}">
  <ds:schemaRefs>
    <ds:schemaRef ds:uri="http://schemas.openxmlformats.org/officeDocument/2006/bibliography"/>
  </ds:schemaRefs>
</ds:datastoreItem>
</file>

<file path=customXml/itemProps3.xml><?xml version="1.0" encoding="utf-8"?>
<ds:datastoreItem xmlns:ds="http://schemas.openxmlformats.org/officeDocument/2006/customXml" ds:itemID="{68594AD1-E28C-4D39-8D97-44F970A42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a7951-263f-476a-af3d-6a03047733f4"/>
    <ds:schemaRef ds:uri="2d6b290d-032a-4eec-8572-cefcfcd4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25EC1-EFD3-49F1-87B0-16FD881E6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Application>LibreOffice/7.0.4.2$Windows_X86_64 LibreOffice_project/dcf040e67528d9187c66b2379df5ea4407429775</Application>
  <AppVersion>15.0000</AppVersion>
  <Pages>6</Pages>
  <Words>1868</Words>
  <Characters>10873</Characters>
  <CharactersWithSpaces>12500</CharactersWithSpaces>
  <Paragraphs>254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2022-10-12T12:04:00Z</dcterms:created>
  <dc:creator>Author</dc:creator>
  <dc:description/>
  <dc:language>it-IT</dc:language>
  <cp:lastModifiedBy/>
  <cp:lastPrinted>2023-12-04T10:51:10Z</cp:lastPrinted>
  <dcterms:modified xsi:type="dcterms:W3CDTF">2023-12-04T11:01:56Z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y fmtid="{D5CDD505-2E9C-101B-9397-08002B2CF9AE}" pid="3" name="MediaServiceImageTags">
    <vt:lpwstr/>
  </property>
</Properties>
</file>